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A75" w14:textId="17B2BE30"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9264"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5">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2228" id="_x0000_t202" coordsize="21600,21600" o:spt="202" path="m,l,21600r21600,l21600,xe">
                <v:stroke joinstyle="miter"/>
                <v:path gradientshapeok="t" o:connecttype="rect"/>
              </v:shapetype>
              <v:shape id="Text Box 2" o:spid="_x0000_s1026" type="#_x0000_t202" style="position:absolute;margin-left:453pt;margin-top:.15pt;width:80.4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stroked="f">
                <v:textbo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6">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107F59">
        <w:rPr>
          <w:rFonts w:ascii="Arial" w:eastAsia="Arial" w:hAnsi="Arial" w:cs="Arial"/>
          <w:b/>
          <w:color w:val="0070C0"/>
          <w:sz w:val="30"/>
          <w:szCs w:val="30"/>
        </w:rPr>
        <w:t>Waratah</w:t>
      </w:r>
      <w:r w:rsidR="002F5D50">
        <w:rPr>
          <w:rFonts w:ascii="Arial" w:eastAsia="Arial" w:hAnsi="Arial" w:cs="Arial"/>
          <w:b/>
          <w:color w:val="0070C0"/>
          <w:sz w:val="30"/>
          <w:szCs w:val="30"/>
        </w:rPr>
        <w:t xml:space="preserve"> Public School Preschool</w:t>
      </w:r>
      <w:r w:rsidR="00EF4A13">
        <w:rPr>
          <w:rFonts w:ascii="Arial" w:eastAsia="Arial" w:hAnsi="Arial" w:cs="Arial"/>
          <w:b/>
          <w:color w:val="0070C0"/>
          <w:sz w:val="30"/>
          <w:szCs w:val="30"/>
        </w:rPr>
        <w:t xml:space="preserve"> Procedure</w:t>
      </w:r>
    </w:p>
    <w:p w14:paraId="3863B185" w14:textId="7CA62482" w:rsidR="00B5541C" w:rsidRPr="006275C9" w:rsidRDefault="007E1A6E" w:rsidP="006275C9">
      <w:pPr>
        <w:ind w:left="720" w:hanging="720"/>
        <w:rPr>
          <w:rFonts w:ascii="Arial" w:eastAsia="Arial" w:hAnsi="Arial" w:cs="Arial"/>
          <w:b/>
          <w:color w:val="0070C0"/>
          <w:sz w:val="36"/>
          <w:szCs w:val="36"/>
        </w:rPr>
      </w:pPr>
      <w:r>
        <w:rPr>
          <w:rFonts w:ascii="Arial" w:eastAsia="Arial" w:hAnsi="Arial" w:cs="Arial"/>
          <w:b/>
          <w:color w:val="0070C0"/>
          <w:sz w:val="36"/>
          <w:szCs w:val="36"/>
        </w:rPr>
        <w:t>Collection of Immunisation Status</w:t>
      </w:r>
      <w:r w:rsidR="00B20D7C">
        <w:rPr>
          <w:rFonts w:ascii="Arial" w:eastAsia="Arial" w:hAnsi="Arial" w:cs="Arial"/>
          <w:b/>
          <w:color w:val="0070C0"/>
          <w:sz w:val="36"/>
          <w:szCs w:val="36"/>
        </w:rPr>
        <w:t xml:space="preserve"> Procedure</w:t>
      </w:r>
    </w:p>
    <w:p w14:paraId="3C0BBDB2" w14:textId="550F3750" w:rsidR="00CC3307" w:rsidRPr="00CC3307" w:rsidRDefault="00EF4A13" w:rsidP="00CC3307">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BE26A5">
        <w:rPr>
          <w:rFonts w:ascii="Arial" w:hAnsi="Arial" w:cs="Arial"/>
          <w:b/>
          <w:color w:val="0070C0"/>
          <w:sz w:val="24"/>
          <w:szCs w:val="24"/>
          <w:lang w:val="en-US"/>
        </w:rPr>
        <w:t>18</w:t>
      </w:r>
      <w:r w:rsidR="00B20D7C">
        <w:rPr>
          <w:rFonts w:ascii="Arial" w:hAnsi="Arial" w:cs="Arial"/>
          <w:b/>
          <w:color w:val="0070C0"/>
          <w:sz w:val="24"/>
          <w:szCs w:val="24"/>
          <w:lang w:val="en-US"/>
        </w:rPr>
        <w:t>/</w:t>
      </w:r>
      <w:r w:rsidR="00BE26A5">
        <w:rPr>
          <w:rFonts w:ascii="Arial" w:hAnsi="Arial" w:cs="Arial"/>
          <w:b/>
          <w:color w:val="0070C0"/>
          <w:sz w:val="24"/>
          <w:szCs w:val="24"/>
          <w:lang w:val="en-US"/>
        </w:rPr>
        <w:t>9</w:t>
      </w:r>
      <w:r w:rsidR="00B20D7C">
        <w:rPr>
          <w:rFonts w:ascii="Arial" w:hAnsi="Arial" w:cs="Arial"/>
          <w:b/>
          <w:color w:val="0070C0"/>
          <w:sz w:val="24"/>
          <w:szCs w:val="24"/>
          <w:lang w:val="en-US"/>
        </w:rPr>
        <w:t>/20</w:t>
      </w:r>
      <w:r>
        <w:rPr>
          <w:rFonts w:ascii="Arial" w:hAnsi="Arial" w:cs="Arial"/>
          <w:b/>
          <w:color w:val="0070C0"/>
          <w:sz w:val="24"/>
          <w:szCs w:val="24"/>
          <w:lang w:val="en-US"/>
        </w:rPr>
        <w:t xml:space="preserve"> </w:t>
      </w: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110"/>
        <w:gridCol w:w="1418"/>
        <w:gridCol w:w="1559"/>
        <w:gridCol w:w="1559"/>
      </w:tblGrid>
      <w:tr w:rsidR="006275C9" w:rsidRPr="00EF4A13" w14:paraId="1CF3881D" w14:textId="7109CE5B" w:rsidTr="00BE26A5">
        <w:trPr>
          <w:trHeight w:val="120"/>
        </w:trPr>
        <w:tc>
          <w:tcPr>
            <w:tcW w:w="22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209CDCB0" w:rsidR="006275C9" w:rsidRPr="006275C9" w:rsidRDefault="00242695" w:rsidP="006275C9">
            <w:pPr>
              <w:spacing w:line="240" w:lineRule="auto"/>
              <w:jc w:val="center"/>
              <w:rPr>
                <w:rFonts w:cstheme="minorHAnsi"/>
                <w:b/>
                <w:sz w:val="24"/>
                <w:szCs w:val="24"/>
              </w:rPr>
            </w:pPr>
            <w:r w:rsidRPr="00A941DA">
              <w:rPr>
                <w:rFonts w:eastAsia="Arial" w:cs="Arial"/>
                <w:bCs/>
                <w:lang w:bidi="en-US"/>
              </w:rPr>
              <w:t>Education and Care Services National Law or Regulation</w:t>
            </w:r>
          </w:p>
        </w:tc>
        <w:tc>
          <w:tcPr>
            <w:tcW w:w="41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64F69A96" w:rsidR="006275C9" w:rsidRPr="006275C9" w:rsidRDefault="00242695" w:rsidP="006275C9">
            <w:pPr>
              <w:spacing w:line="240" w:lineRule="auto"/>
              <w:jc w:val="center"/>
              <w:rPr>
                <w:rFonts w:cstheme="minorHAnsi"/>
                <w:b/>
                <w:sz w:val="24"/>
                <w:szCs w:val="24"/>
              </w:rPr>
            </w:pPr>
            <w:r>
              <w:rPr>
                <w:rFonts w:eastAsia="Arial" w:cs="Arial"/>
                <w:bCs/>
                <w:lang w:bidi="en-US"/>
              </w:rPr>
              <w:t>Associated d</w:t>
            </w:r>
            <w:r w:rsidRPr="00A941DA">
              <w:rPr>
                <w:rFonts w:eastAsia="Arial" w:cs="Arial"/>
                <w:bCs/>
                <w:lang w:bidi="en-US"/>
              </w:rPr>
              <w:t>epartment policy, procedure or guideline</w:t>
            </w:r>
          </w:p>
        </w:tc>
        <w:tc>
          <w:tcPr>
            <w:tcW w:w="14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FE577E8" w14:textId="41C637C9" w:rsidR="006275C9" w:rsidRPr="00651460" w:rsidRDefault="009D2282" w:rsidP="006275C9">
            <w:pPr>
              <w:spacing w:line="240" w:lineRule="auto"/>
              <w:jc w:val="center"/>
              <w:rPr>
                <w:rFonts w:eastAsia="Arial" w:cstheme="minorHAnsi"/>
                <w:sz w:val="24"/>
                <w:szCs w:val="24"/>
              </w:rPr>
            </w:pPr>
            <w:hyperlink r:id="rId7" w:history="1">
              <w:r w:rsidR="006275C9" w:rsidRPr="00651460">
                <w:rPr>
                  <w:rStyle w:val="Hyperlink"/>
                  <w:rFonts w:eastAsia="Arial" w:cstheme="minorHAnsi"/>
                </w:rPr>
                <w:t>Preschool Guidelines</w:t>
              </w:r>
            </w:hyperlink>
            <w:r w:rsidR="006275C9" w:rsidRPr="00651460">
              <w:rPr>
                <w:rFonts w:eastAsia="Arial" w:cstheme="minorHAnsi"/>
              </w:rPr>
              <w:t xml:space="preserve"> reference</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35EDE0" w14:textId="46A28A5E" w:rsidR="006275C9" w:rsidRPr="00651460" w:rsidRDefault="00242695" w:rsidP="006275C9">
            <w:pPr>
              <w:spacing w:line="240" w:lineRule="auto"/>
              <w:jc w:val="center"/>
              <w:rPr>
                <w:rFonts w:eastAsia="Arial" w:cstheme="minorHAnsi"/>
                <w:sz w:val="24"/>
                <w:szCs w:val="24"/>
              </w:rPr>
            </w:pPr>
            <w:r w:rsidRPr="00651460">
              <w:rPr>
                <w:rFonts w:eastAsia="Arial" w:cs="Arial"/>
                <w:bCs/>
                <w:lang w:bidi="en-US"/>
              </w:rPr>
              <w:t>Associated National Quality Standard</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03E68C7" w14:textId="4B0A4B8C" w:rsidR="006275C9" w:rsidRPr="00651460" w:rsidRDefault="006275C9" w:rsidP="006275C9">
            <w:pPr>
              <w:spacing w:line="240" w:lineRule="auto"/>
              <w:jc w:val="center"/>
              <w:rPr>
                <w:rFonts w:cstheme="minorHAnsi"/>
                <w:sz w:val="24"/>
                <w:szCs w:val="24"/>
              </w:rPr>
            </w:pPr>
            <w:r w:rsidRPr="00651460">
              <w:rPr>
                <w:rFonts w:cstheme="minorHAnsi"/>
              </w:rPr>
              <w:t>School policy or procedure</w:t>
            </w:r>
          </w:p>
        </w:tc>
      </w:tr>
      <w:tr w:rsidR="006275C9" w:rsidRPr="00D61D2C" w14:paraId="0751E14E" w14:textId="15466D8B" w:rsidTr="00BE26A5">
        <w:trPr>
          <w:trHeight w:val="120"/>
        </w:trPr>
        <w:tc>
          <w:tcPr>
            <w:tcW w:w="2269" w:type="dxa"/>
            <w:shd w:val="clear" w:color="auto" w:fill="FFFFFF"/>
          </w:tcPr>
          <w:p w14:paraId="19FC7E91" w14:textId="77777777" w:rsidR="006275C9" w:rsidRDefault="006275C9" w:rsidP="00242695">
            <w:pPr>
              <w:shd w:val="clear" w:color="auto" w:fill="FFFFFF"/>
              <w:spacing w:before="100" w:beforeAutospacing="1" w:after="100" w:afterAutospacing="1" w:line="240" w:lineRule="auto"/>
              <w:jc w:val="center"/>
              <w:rPr>
                <w:rFonts w:cstheme="minorHAnsi"/>
              </w:rPr>
            </w:pPr>
          </w:p>
          <w:p w14:paraId="090D5710" w14:textId="0F965E3D" w:rsidR="00BE26A5" w:rsidRPr="007E1A6E" w:rsidRDefault="00BE26A5" w:rsidP="00242695">
            <w:pPr>
              <w:shd w:val="clear" w:color="auto" w:fill="FFFFFF"/>
              <w:spacing w:before="100" w:beforeAutospacing="1" w:after="100" w:afterAutospacing="1" w:line="240" w:lineRule="auto"/>
              <w:jc w:val="center"/>
              <w:rPr>
                <w:rFonts w:cstheme="minorHAnsi"/>
              </w:rPr>
            </w:pPr>
            <w:r>
              <w:rPr>
                <w:rFonts w:cstheme="minorHAnsi"/>
              </w:rPr>
              <w:t>162</w:t>
            </w:r>
          </w:p>
        </w:tc>
        <w:tc>
          <w:tcPr>
            <w:tcW w:w="4110" w:type="dxa"/>
            <w:shd w:val="clear" w:color="auto" w:fill="FFFFFF"/>
          </w:tcPr>
          <w:p w14:paraId="42C50B39" w14:textId="77777777" w:rsidR="006275C9" w:rsidRPr="007E1A6E" w:rsidRDefault="006275C9" w:rsidP="00A6729E">
            <w:pPr>
              <w:shd w:val="clear" w:color="auto" w:fill="FFFFFF"/>
              <w:spacing w:before="100" w:beforeAutospacing="1" w:after="100" w:afterAutospacing="1" w:line="240" w:lineRule="auto"/>
              <w:rPr>
                <w:rFonts w:eastAsia="Times New Roman" w:cstheme="minorHAnsi"/>
                <w:color w:val="0070C0"/>
                <w:spacing w:val="2"/>
                <w:lang w:eastAsia="en-AU"/>
              </w:rPr>
            </w:pPr>
            <w:r w:rsidRPr="007E1A6E">
              <w:rPr>
                <w:rFonts w:eastAsia="Times New Roman" w:cstheme="minorHAnsi"/>
                <w:color w:val="000000"/>
                <w:spacing w:val="2"/>
                <w:lang w:eastAsia="en-AU"/>
              </w:rPr>
              <w:t xml:space="preserve">The following department policies and relevant documents can be accessed from the </w:t>
            </w:r>
            <w:r w:rsidRPr="007E1A6E">
              <w:rPr>
                <w:rFonts w:eastAsia="Times New Roman" w:cstheme="minorHAnsi"/>
                <w:color w:val="000000" w:themeColor="text1"/>
                <w:spacing w:val="2"/>
                <w:lang w:eastAsia="en-AU"/>
              </w:rPr>
              <w:t xml:space="preserve">preschool section of the department’s </w:t>
            </w:r>
            <w:hyperlink r:id="rId8" w:history="1">
              <w:r w:rsidRPr="007E1A6E">
                <w:rPr>
                  <w:rStyle w:val="Hyperlink"/>
                  <w:rFonts w:eastAsia="Times New Roman" w:cstheme="minorHAnsi"/>
                  <w:spacing w:val="2"/>
                  <w:lang w:eastAsia="en-AU"/>
                </w:rPr>
                <w:t>website</w:t>
              </w:r>
            </w:hyperlink>
            <w:r w:rsidRPr="007E1A6E">
              <w:rPr>
                <w:rFonts w:eastAsia="Times New Roman" w:cstheme="minorHAnsi"/>
                <w:color w:val="000000" w:themeColor="text1"/>
                <w:spacing w:val="2"/>
                <w:lang w:eastAsia="en-AU"/>
              </w:rPr>
              <w:t>;</w:t>
            </w:r>
          </w:p>
          <w:p w14:paraId="03CD9BAF" w14:textId="77777777" w:rsidR="006275C9" w:rsidRDefault="00BE26A5" w:rsidP="00BE26A5">
            <w:pPr>
              <w:pStyle w:val="ListParagraph"/>
              <w:numPr>
                <w:ilvl w:val="0"/>
                <w:numId w:val="16"/>
              </w:numPr>
              <w:spacing w:before="100" w:beforeAutospacing="1" w:after="100" w:afterAutospacing="1" w:line="240" w:lineRule="auto"/>
              <w:rPr>
                <w:rFonts w:eastAsia="Times New Roman" w:cstheme="minorHAnsi"/>
                <w:lang w:val="en" w:eastAsia="en-AU"/>
              </w:rPr>
            </w:pPr>
            <w:r>
              <w:rPr>
                <w:rFonts w:eastAsia="Times New Roman" w:cstheme="minorHAnsi"/>
                <w:lang w:val="en" w:eastAsia="en-AU"/>
              </w:rPr>
              <w:t>Leading and Managing Department Preschool Guidelines</w:t>
            </w:r>
          </w:p>
          <w:p w14:paraId="2B589ABE" w14:textId="3C94263A" w:rsidR="00BE26A5" w:rsidRPr="00BE26A5" w:rsidRDefault="00BE26A5" w:rsidP="00BE26A5">
            <w:pPr>
              <w:numPr>
                <w:ilvl w:val="0"/>
                <w:numId w:val="16"/>
              </w:numPr>
              <w:spacing w:after="0" w:line="240" w:lineRule="auto"/>
              <w:rPr>
                <w:rStyle w:val="Hyperlink"/>
                <w:rFonts w:cs="Calibri"/>
                <w:sz w:val="24"/>
                <w:szCs w:val="24"/>
              </w:rPr>
            </w:pPr>
            <w:r>
              <w:rPr>
                <w:rFonts w:cs="Calibri"/>
                <w:sz w:val="24"/>
                <w:szCs w:val="24"/>
              </w:rPr>
              <w:fldChar w:fldCharType="begin"/>
            </w:r>
            <w:r>
              <w:rPr>
                <w:rFonts w:cs="Calibri"/>
                <w:sz w:val="24"/>
                <w:szCs w:val="24"/>
              </w:rPr>
              <w:instrText xml:space="preserve"> HYPERLINK "https://www.health.nsw.gov.au/immunisation/Publications/immunisation-enrolment-toolkit.pdf" </w:instrText>
            </w:r>
            <w:r>
              <w:rPr>
                <w:rFonts w:cs="Calibri"/>
                <w:sz w:val="24"/>
                <w:szCs w:val="24"/>
              </w:rPr>
              <w:fldChar w:fldCharType="separate"/>
            </w:r>
            <w:r w:rsidRPr="00BE26A5">
              <w:rPr>
                <w:rStyle w:val="Hyperlink"/>
                <w:rFonts w:cs="Calibri"/>
                <w:sz w:val="24"/>
                <w:szCs w:val="24"/>
              </w:rPr>
              <w:t>NSW Health Immunisation Enrolment Toolkit</w:t>
            </w:r>
          </w:p>
          <w:p w14:paraId="3E7918CC" w14:textId="32B5C9F6" w:rsidR="00BE26A5" w:rsidRPr="007E1A6E" w:rsidRDefault="00BE26A5" w:rsidP="00BE26A5">
            <w:pPr>
              <w:pStyle w:val="ListParagraph"/>
              <w:numPr>
                <w:ilvl w:val="0"/>
                <w:numId w:val="16"/>
              </w:numPr>
              <w:spacing w:before="100" w:beforeAutospacing="1" w:after="100" w:afterAutospacing="1" w:line="240" w:lineRule="auto"/>
              <w:rPr>
                <w:rFonts w:eastAsia="Times New Roman" w:cstheme="minorHAnsi"/>
                <w:lang w:val="en" w:eastAsia="en-AU"/>
              </w:rPr>
            </w:pPr>
            <w:r>
              <w:rPr>
                <w:rFonts w:cs="Calibri"/>
                <w:sz w:val="24"/>
                <w:szCs w:val="24"/>
              </w:rPr>
              <w:fldChar w:fldCharType="end"/>
            </w:r>
          </w:p>
        </w:tc>
        <w:tc>
          <w:tcPr>
            <w:tcW w:w="1418" w:type="dxa"/>
            <w:shd w:val="clear" w:color="auto" w:fill="FFFFFF"/>
          </w:tcPr>
          <w:p w14:paraId="46B92D8A" w14:textId="77777777" w:rsidR="006275C9" w:rsidRPr="007E1A6E" w:rsidRDefault="006275C9" w:rsidP="000F2BCD">
            <w:pPr>
              <w:rPr>
                <w:rFonts w:cstheme="minorHAnsi"/>
              </w:rPr>
            </w:pPr>
          </w:p>
          <w:p w14:paraId="3FC42E87" w14:textId="24D08725" w:rsidR="006275C9" w:rsidRDefault="00BE26A5" w:rsidP="000F2BCD">
            <w:pPr>
              <w:rPr>
                <w:rFonts w:cstheme="minorHAnsi"/>
              </w:rPr>
            </w:pPr>
            <w:r>
              <w:rPr>
                <w:rFonts w:cstheme="minorHAnsi"/>
              </w:rPr>
              <w:t>p. 33</w:t>
            </w:r>
            <w:r w:rsidR="009D2282">
              <w:rPr>
                <w:rFonts w:cstheme="minorHAnsi"/>
              </w:rPr>
              <w:t>, 34</w:t>
            </w:r>
          </w:p>
          <w:p w14:paraId="3759B6F8" w14:textId="77777777" w:rsidR="009D2282" w:rsidRDefault="009D2282" w:rsidP="000F2BCD">
            <w:pPr>
              <w:rPr>
                <w:rFonts w:cstheme="minorHAnsi"/>
              </w:rPr>
            </w:pPr>
            <w:r>
              <w:rPr>
                <w:rFonts w:cstheme="minorHAnsi"/>
              </w:rPr>
              <w:t>p. 63</w:t>
            </w:r>
          </w:p>
          <w:p w14:paraId="4914E265" w14:textId="33D9CB85" w:rsidR="009D2282" w:rsidRPr="007E1A6E" w:rsidRDefault="009D2282" w:rsidP="000F2BCD">
            <w:pPr>
              <w:rPr>
                <w:rFonts w:cstheme="minorHAnsi"/>
              </w:rPr>
            </w:pPr>
            <w:r>
              <w:rPr>
                <w:rFonts w:cstheme="minorHAnsi"/>
              </w:rPr>
              <w:t>p. 93, 95</w:t>
            </w:r>
          </w:p>
        </w:tc>
        <w:tc>
          <w:tcPr>
            <w:tcW w:w="1559" w:type="dxa"/>
            <w:shd w:val="clear" w:color="auto" w:fill="FFFFFF"/>
          </w:tcPr>
          <w:p w14:paraId="413E1FAC" w14:textId="75EEBDA7" w:rsidR="006275C9" w:rsidRPr="007E1A6E" w:rsidRDefault="006275C9" w:rsidP="006275C9">
            <w:pPr>
              <w:spacing w:line="240" w:lineRule="auto"/>
              <w:jc w:val="center"/>
              <w:rPr>
                <w:rFonts w:cstheme="minorHAnsi"/>
              </w:rPr>
            </w:pPr>
          </w:p>
        </w:tc>
        <w:tc>
          <w:tcPr>
            <w:tcW w:w="1559" w:type="dxa"/>
            <w:shd w:val="clear" w:color="auto" w:fill="FFFFFF"/>
          </w:tcPr>
          <w:p w14:paraId="713896A2" w14:textId="77777777" w:rsidR="006275C9" w:rsidRDefault="006275C9" w:rsidP="00CC3307">
            <w:pPr>
              <w:spacing w:line="240" w:lineRule="auto"/>
              <w:rPr>
                <w:rFonts w:cstheme="minorHAnsi"/>
              </w:rPr>
            </w:pPr>
          </w:p>
          <w:p w14:paraId="49E51967" w14:textId="6C7D5FBE" w:rsidR="00BE26A5" w:rsidRPr="007E1A6E" w:rsidRDefault="00BE26A5" w:rsidP="00CC3307">
            <w:pPr>
              <w:spacing w:line="240" w:lineRule="auto"/>
              <w:rPr>
                <w:rFonts w:cstheme="minorHAnsi"/>
              </w:rPr>
            </w:pPr>
            <w:r>
              <w:rPr>
                <w:rFonts w:cstheme="minorHAnsi"/>
              </w:rPr>
              <w:t>Immunisation</w:t>
            </w:r>
          </w:p>
        </w:tc>
      </w:tr>
      <w:tr w:rsidR="006275C9" w:rsidRPr="00387AEC" w14:paraId="5CBC0EE5" w14:textId="750C6F30" w:rsidTr="00AB500D">
        <w:trPr>
          <w:trHeight w:val="120"/>
        </w:trPr>
        <w:tc>
          <w:tcPr>
            <w:tcW w:w="10915" w:type="dxa"/>
            <w:gridSpan w:val="5"/>
            <w:shd w:val="clear" w:color="auto" w:fill="FFFFFF"/>
          </w:tcPr>
          <w:p w14:paraId="027A7F74" w14:textId="77777777" w:rsidR="00BB021D" w:rsidRDefault="00BE26A5" w:rsidP="00BE26A5">
            <w:pPr>
              <w:pStyle w:val="Body1"/>
              <w:rPr>
                <w:rFonts w:asciiTheme="minorHAnsi" w:hAnsiTheme="minorHAnsi" w:cstheme="minorHAnsi"/>
                <w:color w:val="auto"/>
                <w:spacing w:val="2"/>
                <w:szCs w:val="24"/>
                <w:shd w:val="clear" w:color="auto" w:fill="FFFFFF"/>
              </w:rPr>
            </w:pPr>
            <w:r w:rsidRPr="00BB021D">
              <w:rPr>
                <w:rFonts w:asciiTheme="minorHAnsi" w:hAnsiTheme="minorHAnsi" w:cstheme="minorHAnsi"/>
                <w:color w:val="auto"/>
                <w:spacing w:val="2"/>
                <w:szCs w:val="24"/>
                <w:shd w:val="clear" w:color="auto" w:fill="FFFFFF"/>
              </w:rPr>
              <w:t xml:space="preserve">Under the NSW Public Health Act 2010, immunisation procedures apply to pre-schoolers enrolling in department preschools. </w:t>
            </w:r>
          </w:p>
          <w:p w14:paraId="105D08DA" w14:textId="77777777" w:rsidR="00BB021D" w:rsidRDefault="00BB021D" w:rsidP="00BE26A5">
            <w:pPr>
              <w:pStyle w:val="Body1"/>
              <w:rPr>
                <w:rFonts w:asciiTheme="minorHAnsi" w:hAnsiTheme="minorHAnsi" w:cstheme="minorHAnsi"/>
                <w:color w:val="auto"/>
                <w:spacing w:val="2"/>
                <w:szCs w:val="24"/>
                <w:shd w:val="clear" w:color="auto" w:fill="FFFFFF"/>
              </w:rPr>
            </w:pPr>
          </w:p>
          <w:p w14:paraId="6BDF8C0C" w14:textId="3015553D" w:rsidR="00BE26A5" w:rsidRPr="00BB021D" w:rsidRDefault="00BE26A5" w:rsidP="00BB021D">
            <w:pPr>
              <w:pStyle w:val="Body1"/>
              <w:numPr>
                <w:ilvl w:val="0"/>
                <w:numId w:val="22"/>
              </w:numPr>
              <w:rPr>
                <w:rFonts w:asciiTheme="minorHAnsi" w:hAnsiTheme="minorHAnsi" w:cstheme="minorHAnsi"/>
                <w:color w:val="auto"/>
                <w:szCs w:val="24"/>
              </w:rPr>
            </w:pPr>
            <w:r w:rsidRPr="00BB021D">
              <w:rPr>
                <w:rFonts w:asciiTheme="minorHAnsi" w:hAnsiTheme="minorHAnsi" w:cstheme="minorHAnsi"/>
                <w:color w:val="auto"/>
                <w:spacing w:val="2"/>
                <w:szCs w:val="24"/>
                <w:shd w:val="clear" w:color="auto" w:fill="FFFFFF"/>
              </w:rPr>
              <w:t xml:space="preserve">Schools are required to collect approved information that confirms that children enrolling in department preschools are up to date in their immunisation status. </w:t>
            </w:r>
            <w:r w:rsidRPr="00BB021D">
              <w:rPr>
                <w:rFonts w:asciiTheme="minorHAnsi" w:eastAsia="Times New Roman" w:hAnsiTheme="minorHAnsi" w:cstheme="minorHAnsi"/>
                <w:color w:val="auto"/>
                <w:spacing w:val="2"/>
                <w:szCs w:val="24"/>
                <w:shd w:val="clear" w:color="auto" w:fill="FFFFFF"/>
              </w:rPr>
              <w:t xml:space="preserve">A school cannot enrol a child in preschool unless the parent/guardian has provided </w:t>
            </w:r>
            <w:r w:rsidRPr="00BB021D">
              <w:rPr>
                <w:rFonts w:asciiTheme="minorHAnsi" w:hAnsiTheme="minorHAnsi" w:cstheme="minorHAnsi"/>
                <w:szCs w:val="24"/>
              </w:rPr>
              <w:t>an approved immunisation form from the Australian Immunisation Register (AIR)</w:t>
            </w:r>
            <w:r w:rsidRPr="00BB021D">
              <w:rPr>
                <w:rFonts w:asciiTheme="minorHAnsi" w:eastAsia="Times New Roman" w:hAnsiTheme="minorHAnsi" w:cstheme="minorHAnsi"/>
                <w:color w:val="auto"/>
                <w:spacing w:val="2"/>
                <w:szCs w:val="24"/>
                <w:shd w:val="clear" w:color="auto" w:fill="FFFFFF"/>
              </w:rPr>
              <w:t xml:space="preserve"> that shows that the child:</w:t>
            </w:r>
          </w:p>
          <w:p w14:paraId="7A0C996C" w14:textId="77777777" w:rsidR="00BE26A5" w:rsidRPr="00BB021D" w:rsidRDefault="00BE26A5" w:rsidP="00BE26A5">
            <w:pPr>
              <w:numPr>
                <w:ilvl w:val="0"/>
                <w:numId w:val="20"/>
              </w:numPr>
              <w:spacing w:after="100" w:afterAutospacing="1" w:line="240" w:lineRule="auto"/>
              <w:rPr>
                <w:rFonts w:eastAsia="Times New Roman" w:cstheme="minorHAnsi"/>
                <w:spacing w:val="2"/>
                <w:sz w:val="24"/>
                <w:szCs w:val="24"/>
                <w:lang w:eastAsia="en-AU"/>
              </w:rPr>
            </w:pPr>
            <w:r w:rsidRPr="00BB021D">
              <w:rPr>
                <w:rFonts w:eastAsia="Times New Roman" w:cstheme="minorHAnsi"/>
                <w:spacing w:val="2"/>
                <w:sz w:val="24"/>
                <w:szCs w:val="24"/>
                <w:lang w:eastAsia="en-AU"/>
              </w:rPr>
              <w:t>is fully immunised for their age, or</w:t>
            </w:r>
          </w:p>
          <w:p w14:paraId="5066C82F" w14:textId="66E69376" w:rsidR="00BE26A5" w:rsidRPr="00BB021D" w:rsidRDefault="00BE26A5" w:rsidP="00BE26A5">
            <w:pPr>
              <w:numPr>
                <w:ilvl w:val="0"/>
                <w:numId w:val="20"/>
              </w:numPr>
              <w:spacing w:before="100" w:beforeAutospacing="1" w:after="100" w:afterAutospacing="1" w:line="240" w:lineRule="auto"/>
              <w:rPr>
                <w:rFonts w:eastAsia="Times New Roman" w:cstheme="minorHAnsi"/>
                <w:spacing w:val="2"/>
                <w:sz w:val="24"/>
                <w:szCs w:val="24"/>
                <w:lang w:eastAsia="en-AU"/>
              </w:rPr>
            </w:pPr>
            <w:r w:rsidRPr="00BB021D">
              <w:rPr>
                <w:rFonts w:eastAsia="Times New Roman" w:cstheme="minorHAnsi"/>
                <w:spacing w:val="2"/>
                <w:sz w:val="24"/>
                <w:szCs w:val="24"/>
                <w:lang w:eastAsia="en-AU"/>
              </w:rPr>
              <w:t>has a medical reason not to be vaccinated, or,</w:t>
            </w:r>
          </w:p>
          <w:p w14:paraId="121A87F9" w14:textId="4F14AABA" w:rsidR="00BE26A5" w:rsidRPr="00BB021D" w:rsidRDefault="00BE26A5" w:rsidP="00BE26A5">
            <w:pPr>
              <w:numPr>
                <w:ilvl w:val="0"/>
                <w:numId w:val="20"/>
              </w:numPr>
              <w:spacing w:before="100" w:beforeAutospacing="1" w:after="100" w:afterAutospacing="1" w:line="240" w:lineRule="auto"/>
              <w:rPr>
                <w:rFonts w:eastAsia="Times New Roman" w:cstheme="minorHAnsi"/>
                <w:spacing w:val="2"/>
                <w:sz w:val="24"/>
                <w:szCs w:val="24"/>
                <w:lang w:eastAsia="en-AU"/>
              </w:rPr>
            </w:pPr>
            <w:r w:rsidRPr="00BB021D">
              <w:rPr>
                <w:rFonts w:eastAsia="Times New Roman" w:cstheme="minorHAnsi"/>
                <w:spacing w:val="2"/>
                <w:sz w:val="24"/>
                <w:szCs w:val="24"/>
                <w:lang w:eastAsia="en-AU"/>
              </w:rPr>
              <w:t>is on a recognised catch-up schedule</w:t>
            </w:r>
          </w:p>
          <w:p w14:paraId="1EDF0738" w14:textId="5DCB2345" w:rsidR="00BE26A5" w:rsidRPr="00BB021D" w:rsidRDefault="00BE26A5" w:rsidP="00BB021D">
            <w:pPr>
              <w:pStyle w:val="Body1"/>
              <w:numPr>
                <w:ilvl w:val="0"/>
                <w:numId w:val="22"/>
              </w:numPr>
              <w:rPr>
                <w:rFonts w:asciiTheme="minorHAnsi" w:hAnsiTheme="minorHAnsi" w:cstheme="minorHAnsi"/>
                <w:szCs w:val="24"/>
              </w:rPr>
            </w:pPr>
            <w:r w:rsidRPr="00BB021D">
              <w:rPr>
                <w:rFonts w:asciiTheme="minorHAnsi" w:hAnsiTheme="minorHAnsi" w:cstheme="minorHAnsi"/>
                <w:szCs w:val="24"/>
              </w:rPr>
              <w:t xml:space="preserve">Prior to enrolment in our preschool, parents/caregivers will be asked to supply an Immunisation History Statement with an ‘up to date’ status. </w:t>
            </w:r>
          </w:p>
          <w:p w14:paraId="6D24A5D0" w14:textId="5152B775" w:rsidR="00BE26A5" w:rsidRPr="00BB021D" w:rsidRDefault="00BE26A5" w:rsidP="00BE26A5">
            <w:pPr>
              <w:pStyle w:val="Body1"/>
              <w:ind w:left="720"/>
              <w:rPr>
                <w:rFonts w:asciiTheme="minorHAnsi" w:hAnsiTheme="minorHAnsi" w:cstheme="minorHAnsi"/>
                <w:szCs w:val="24"/>
              </w:rPr>
            </w:pPr>
            <w:r w:rsidRPr="00BB021D">
              <w:rPr>
                <w:rFonts w:asciiTheme="minorHAnsi" w:hAnsiTheme="minorHAnsi" w:cstheme="minorHAnsi"/>
                <w:b/>
                <w:bCs/>
                <w:szCs w:val="24"/>
              </w:rPr>
              <w:t>NB.</w:t>
            </w:r>
            <w:r w:rsidRPr="00BB021D">
              <w:rPr>
                <w:rFonts w:asciiTheme="minorHAnsi" w:hAnsiTheme="minorHAnsi" w:cstheme="minorHAnsi"/>
                <w:szCs w:val="24"/>
              </w:rPr>
              <w:t xml:space="preserve"> Medicare automatically mails these statements to families after their child has completed their 4-year-old immunisations. Families can also access the statement in the following ways:</w:t>
            </w:r>
          </w:p>
          <w:p w14:paraId="31FA1ECA" w14:textId="77777777" w:rsidR="00BE26A5" w:rsidRPr="00BB021D" w:rsidRDefault="00BE26A5" w:rsidP="00BE26A5">
            <w:pPr>
              <w:pStyle w:val="Body1"/>
              <w:numPr>
                <w:ilvl w:val="0"/>
                <w:numId w:val="20"/>
              </w:numPr>
              <w:rPr>
                <w:rFonts w:asciiTheme="minorHAnsi" w:hAnsiTheme="minorHAnsi" w:cstheme="minorHAnsi"/>
                <w:color w:val="auto"/>
                <w:szCs w:val="24"/>
              </w:rPr>
            </w:pPr>
            <w:r w:rsidRPr="00BB021D">
              <w:rPr>
                <w:rFonts w:asciiTheme="minorHAnsi" w:hAnsiTheme="minorHAnsi" w:cstheme="minorHAnsi"/>
                <w:color w:val="auto"/>
                <w:szCs w:val="24"/>
              </w:rPr>
              <w:t>using their Medicare online account through the MyGov website</w:t>
            </w:r>
          </w:p>
          <w:p w14:paraId="637BF988" w14:textId="77777777" w:rsidR="00BE26A5" w:rsidRPr="00BB021D" w:rsidRDefault="00BE26A5" w:rsidP="00BE26A5">
            <w:pPr>
              <w:pStyle w:val="Body1"/>
              <w:numPr>
                <w:ilvl w:val="0"/>
                <w:numId w:val="20"/>
              </w:numPr>
              <w:rPr>
                <w:rFonts w:asciiTheme="minorHAnsi" w:hAnsiTheme="minorHAnsi" w:cstheme="minorHAnsi"/>
                <w:color w:val="auto"/>
                <w:szCs w:val="24"/>
              </w:rPr>
            </w:pPr>
            <w:r w:rsidRPr="00BB021D">
              <w:rPr>
                <w:rFonts w:asciiTheme="minorHAnsi" w:hAnsiTheme="minorHAnsi" w:cstheme="minorHAnsi"/>
                <w:color w:val="auto"/>
                <w:szCs w:val="24"/>
              </w:rPr>
              <w:t>using the Medicare Express Plus App</w:t>
            </w:r>
          </w:p>
          <w:p w14:paraId="2620C18E" w14:textId="77777777" w:rsidR="00BE26A5" w:rsidRPr="00BB021D" w:rsidRDefault="00BE26A5" w:rsidP="00BE26A5">
            <w:pPr>
              <w:pStyle w:val="Body1"/>
              <w:numPr>
                <w:ilvl w:val="0"/>
                <w:numId w:val="20"/>
              </w:numPr>
              <w:rPr>
                <w:rFonts w:asciiTheme="minorHAnsi" w:hAnsiTheme="minorHAnsi" w:cstheme="minorHAnsi"/>
                <w:color w:val="auto"/>
                <w:szCs w:val="24"/>
              </w:rPr>
            </w:pPr>
            <w:r w:rsidRPr="00BB021D">
              <w:rPr>
                <w:rFonts w:asciiTheme="minorHAnsi" w:hAnsiTheme="minorHAnsi" w:cstheme="minorHAnsi"/>
                <w:color w:val="auto"/>
                <w:szCs w:val="24"/>
              </w:rPr>
              <w:t>calling the AIR General Enquiries Line on 1800 653 809</w:t>
            </w:r>
          </w:p>
          <w:p w14:paraId="51AE34AF" w14:textId="77777777" w:rsidR="00BE26A5" w:rsidRPr="00BB021D" w:rsidRDefault="00BE26A5" w:rsidP="00BE26A5">
            <w:pPr>
              <w:pStyle w:val="Body1"/>
              <w:rPr>
                <w:rFonts w:asciiTheme="minorHAnsi" w:hAnsiTheme="minorHAnsi" w:cstheme="minorHAnsi"/>
                <w:b/>
                <w:bCs/>
                <w:szCs w:val="24"/>
                <w:u w:val="single"/>
              </w:rPr>
            </w:pPr>
          </w:p>
          <w:p w14:paraId="2327FE15" w14:textId="77777777" w:rsidR="00BE26A5" w:rsidRPr="00BB021D" w:rsidRDefault="00BE26A5" w:rsidP="00BB021D">
            <w:pPr>
              <w:pStyle w:val="Body1"/>
              <w:numPr>
                <w:ilvl w:val="0"/>
                <w:numId w:val="22"/>
              </w:numPr>
              <w:rPr>
                <w:rFonts w:asciiTheme="minorHAnsi" w:hAnsiTheme="minorHAnsi" w:cstheme="minorHAnsi"/>
                <w:color w:val="auto"/>
                <w:szCs w:val="24"/>
              </w:rPr>
            </w:pPr>
            <w:r w:rsidRPr="00BB021D">
              <w:rPr>
                <w:rFonts w:asciiTheme="minorHAnsi" w:hAnsiTheme="minorHAnsi" w:cstheme="minorHAnsi"/>
                <w:color w:val="auto"/>
                <w:spacing w:val="2"/>
                <w:szCs w:val="24"/>
                <w:shd w:val="clear" w:color="auto" w:fill="FFFFFF"/>
              </w:rPr>
              <w:t xml:space="preserve">Children who have temporary resident or refugee status are required to attend a doctor/immunisation nurse to have their immunisation status assessed and an Immunisation History Form completed. A copy of this form must be presented to the preschool prior to enrolment. </w:t>
            </w:r>
          </w:p>
          <w:p w14:paraId="504B43AB" w14:textId="77777777" w:rsidR="00BE26A5" w:rsidRPr="00BB021D" w:rsidRDefault="00BE26A5" w:rsidP="00BE26A5">
            <w:pPr>
              <w:pStyle w:val="Body1"/>
              <w:ind w:left="720"/>
              <w:rPr>
                <w:rFonts w:asciiTheme="minorHAnsi" w:hAnsiTheme="minorHAnsi" w:cstheme="minorHAnsi"/>
                <w:color w:val="auto"/>
                <w:szCs w:val="24"/>
              </w:rPr>
            </w:pPr>
          </w:p>
          <w:p w14:paraId="726FE15E" w14:textId="6E9F0967" w:rsidR="00BE26A5" w:rsidRPr="00BB021D" w:rsidRDefault="00BE26A5" w:rsidP="00BB021D">
            <w:pPr>
              <w:pStyle w:val="Body1"/>
              <w:numPr>
                <w:ilvl w:val="0"/>
                <w:numId w:val="22"/>
              </w:numPr>
              <w:rPr>
                <w:rFonts w:asciiTheme="minorHAnsi" w:hAnsiTheme="minorHAnsi" w:cstheme="minorHAnsi"/>
                <w:color w:val="auto"/>
                <w:szCs w:val="24"/>
              </w:rPr>
            </w:pPr>
            <w:r w:rsidRPr="00BB021D">
              <w:rPr>
                <w:rFonts w:asciiTheme="minorHAnsi" w:hAnsiTheme="minorHAnsi" w:cstheme="minorHAnsi"/>
                <w:szCs w:val="24"/>
              </w:rPr>
              <w:t xml:space="preserve">In exceptional circumstances, a 12-week exemption can be granted for children who are in any of </w:t>
            </w:r>
            <w:r w:rsidRPr="00BB021D">
              <w:rPr>
                <w:rFonts w:asciiTheme="minorHAnsi" w:hAnsiTheme="minorHAnsi" w:cstheme="minorHAnsi"/>
                <w:color w:val="auto"/>
                <w:szCs w:val="24"/>
              </w:rPr>
              <w:t xml:space="preserve">the following categories: </w:t>
            </w:r>
          </w:p>
          <w:p w14:paraId="2390966E" w14:textId="70E17DDD" w:rsidR="00BE26A5" w:rsidRPr="00BB021D" w:rsidRDefault="00BE26A5" w:rsidP="00BE26A5">
            <w:pPr>
              <w:numPr>
                <w:ilvl w:val="0"/>
                <w:numId w:val="20"/>
              </w:numPr>
              <w:spacing w:after="0" w:line="240" w:lineRule="auto"/>
              <w:rPr>
                <w:rFonts w:eastAsia="Times New Roman" w:cstheme="minorHAnsi"/>
                <w:spacing w:val="2"/>
                <w:sz w:val="24"/>
                <w:szCs w:val="24"/>
                <w:lang w:eastAsia="en-AU"/>
              </w:rPr>
            </w:pPr>
            <w:r w:rsidRPr="00BB021D">
              <w:rPr>
                <w:rFonts w:cstheme="minorHAnsi"/>
                <w:sz w:val="24"/>
                <w:szCs w:val="24"/>
              </w:rPr>
              <w:t xml:space="preserve">a child evacuated during a state of emergency </w:t>
            </w:r>
          </w:p>
          <w:p w14:paraId="15A679B4" w14:textId="2E97AFF4" w:rsidR="00BE26A5" w:rsidRPr="00BB021D" w:rsidRDefault="00BE26A5" w:rsidP="00BE26A5">
            <w:pPr>
              <w:numPr>
                <w:ilvl w:val="0"/>
                <w:numId w:val="20"/>
              </w:numPr>
              <w:spacing w:after="0" w:line="240" w:lineRule="auto"/>
              <w:rPr>
                <w:rFonts w:eastAsia="Times New Roman" w:cstheme="minorHAnsi"/>
                <w:spacing w:val="2"/>
                <w:sz w:val="24"/>
                <w:szCs w:val="24"/>
                <w:lang w:eastAsia="en-AU"/>
              </w:rPr>
            </w:pPr>
            <w:r w:rsidRPr="00BB021D">
              <w:rPr>
                <w:rFonts w:cstheme="minorHAnsi"/>
                <w:sz w:val="24"/>
                <w:szCs w:val="24"/>
              </w:rPr>
              <w:t>a child in out of home care</w:t>
            </w:r>
          </w:p>
          <w:p w14:paraId="5C509D76" w14:textId="5514FE3C" w:rsidR="00BE26A5" w:rsidRDefault="00BE26A5" w:rsidP="00BE26A5">
            <w:pPr>
              <w:numPr>
                <w:ilvl w:val="0"/>
                <w:numId w:val="20"/>
              </w:numPr>
              <w:spacing w:after="0" w:line="240" w:lineRule="auto"/>
              <w:rPr>
                <w:rFonts w:eastAsia="Times New Roman" w:cstheme="minorHAnsi"/>
                <w:spacing w:val="2"/>
                <w:sz w:val="24"/>
                <w:szCs w:val="24"/>
                <w:lang w:eastAsia="en-AU"/>
              </w:rPr>
            </w:pPr>
            <w:r w:rsidRPr="00BB021D">
              <w:rPr>
                <w:rFonts w:eastAsia="Times New Roman" w:cstheme="minorHAnsi"/>
                <w:spacing w:val="2"/>
                <w:sz w:val="24"/>
                <w:szCs w:val="24"/>
                <w:lang w:eastAsia="en-AU"/>
              </w:rPr>
              <w:t>Aboriginal or Torres Strait Islander children</w:t>
            </w:r>
          </w:p>
          <w:p w14:paraId="216A1A6B" w14:textId="77777777" w:rsidR="00BB021D" w:rsidRPr="00BB021D" w:rsidRDefault="00BB021D" w:rsidP="00BB021D">
            <w:pPr>
              <w:spacing w:after="0" w:line="240" w:lineRule="auto"/>
              <w:rPr>
                <w:rFonts w:eastAsia="Times New Roman" w:cstheme="minorHAnsi"/>
                <w:spacing w:val="2"/>
                <w:sz w:val="24"/>
                <w:szCs w:val="24"/>
                <w:lang w:eastAsia="en-AU"/>
              </w:rPr>
            </w:pPr>
          </w:p>
          <w:p w14:paraId="26CEA11C" w14:textId="67EEAF36" w:rsidR="00BB021D" w:rsidRPr="00BB021D" w:rsidRDefault="00BB021D" w:rsidP="00BB021D">
            <w:pPr>
              <w:pStyle w:val="ListParagraph"/>
              <w:numPr>
                <w:ilvl w:val="0"/>
                <w:numId w:val="22"/>
              </w:numPr>
              <w:spacing w:after="0" w:line="240" w:lineRule="auto"/>
              <w:rPr>
                <w:rFonts w:eastAsia="Times New Roman" w:cstheme="minorHAnsi"/>
                <w:spacing w:val="2"/>
                <w:sz w:val="24"/>
                <w:szCs w:val="24"/>
                <w:lang w:eastAsia="en-AU"/>
              </w:rPr>
            </w:pPr>
            <w:r w:rsidRPr="00BB021D">
              <w:rPr>
                <w:rFonts w:cstheme="minorHAnsi"/>
                <w:sz w:val="24"/>
                <w:szCs w:val="24"/>
              </w:rPr>
              <w:lastRenderedPageBreak/>
              <w:t>If a child turns four while enrolled at preschool, there is an obligation for preschools to remind the family to supply the updated history statement or form. However, the child cannot be excluded if the family does not provide the documentation, unless there is an outbreak of a disease for which the child is not vaccinated against.</w:t>
            </w:r>
          </w:p>
          <w:p w14:paraId="3F311173" w14:textId="77777777" w:rsidR="00BE26A5" w:rsidRPr="00BB021D" w:rsidRDefault="00BE26A5" w:rsidP="00BE26A5">
            <w:pPr>
              <w:pStyle w:val="Body1"/>
              <w:ind w:left="720"/>
              <w:rPr>
                <w:rFonts w:asciiTheme="minorHAnsi" w:hAnsiTheme="minorHAnsi" w:cstheme="minorHAnsi"/>
                <w:szCs w:val="24"/>
              </w:rPr>
            </w:pPr>
          </w:p>
          <w:p w14:paraId="7F36AFDF" w14:textId="2F5C8DF5" w:rsidR="00BE26A5" w:rsidRPr="00BB021D" w:rsidRDefault="00BE26A5" w:rsidP="00BB021D">
            <w:pPr>
              <w:pStyle w:val="Body1"/>
              <w:numPr>
                <w:ilvl w:val="0"/>
                <w:numId w:val="22"/>
              </w:numPr>
              <w:rPr>
                <w:rFonts w:asciiTheme="minorHAnsi" w:hAnsiTheme="minorHAnsi" w:cstheme="minorHAnsi"/>
                <w:szCs w:val="24"/>
              </w:rPr>
            </w:pPr>
            <w:r w:rsidRPr="00BB021D">
              <w:rPr>
                <w:rFonts w:asciiTheme="minorHAnsi" w:hAnsiTheme="minorHAnsi" w:cstheme="minorHAnsi"/>
                <w:szCs w:val="24"/>
              </w:rPr>
              <w:t>A written record must be kept of all requests for documentation made to families.</w:t>
            </w:r>
          </w:p>
          <w:p w14:paraId="0CBEAE93" w14:textId="77777777" w:rsidR="00BB021D" w:rsidRPr="00BB021D" w:rsidRDefault="00BB021D" w:rsidP="00BB021D">
            <w:pPr>
              <w:pStyle w:val="Body1"/>
              <w:ind w:left="360"/>
              <w:rPr>
                <w:rFonts w:asciiTheme="minorHAnsi" w:hAnsiTheme="minorHAnsi" w:cstheme="minorHAnsi"/>
                <w:szCs w:val="24"/>
              </w:rPr>
            </w:pPr>
          </w:p>
          <w:p w14:paraId="5E7DF4E0" w14:textId="7D93E0E1" w:rsidR="00BB021D" w:rsidRPr="00BB021D" w:rsidRDefault="00BE26A5" w:rsidP="00BB021D">
            <w:pPr>
              <w:pStyle w:val="Body1"/>
              <w:numPr>
                <w:ilvl w:val="0"/>
                <w:numId w:val="22"/>
              </w:numPr>
              <w:rPr>
                <w:rFonts w:asciiTheme="minorHAnsi" w:hAnsiTheme="minorHAnsi" w:cstheme="minorHAnsi"/>
                <w:szCs w:val="24"/>
              </w:rPr>
            </w:pPr>
            <w:r w:rsidRPr="00BB021D">
              <w:rPr>
                <w:rFonts w:asciiTheme="minorHAnsi" w:hAnsiTheme="minorHAnsi" w:cstheme="minorHAnsi"/>
                <w:szCs w:val="24"/>
              </w:rPr>
              <w:t xml:space="preserve">An immunisation register that records the immunisation status of all children enrolled is maintained by the school administration staff. A printed updated copy of this record is provided to the preschool regularly to reflect the status of children </w:t>
            </w:r>
            <w:r w:rsidR="00BB021D" w:rsidRPr="00BB021D">
              <w:rPr>
                <w:rFonts w:asciiTheme="minorHAnsi" w:hAnsiTheme="minorHAnsi" w:cstheme="minorHAnsi"/>
                <w:szCs w:val="24"/>
              </w:rPr>
              <w:t xml:space="preserve">currently </w:t>
            </w:r>
            <w:r w:rsidRPr="00BB021D">
              <w:rPr>
                <w:rFonts w:asciiTheme="minorHAnsi" w:hAnsiTheme="minorHAnsi" w:cstheme="minorHAnsi"/>
                <w:szCs w:val="24"/>
              </w:rPr>
              <w:t xml:space="preserve">enrolled. </w:t>
            </w:r>
            <w:r w:rsidR="00BB021D" w:rsidRPr="00BB021D">
              <w:rPr>
                <w:rFonts w:asciiTheme="minorHAnsi" w:hAnsiTheme="minorHAnsi" w:cstheme="minorHAnsi"/>
                <w:szCs w:val="24"/>
              </w:rPr>
              <w:t xml:space="preserve">This register </w:t>
            </w:r>
            <w:r w:rsidRPr="00BB021D">
              <w:rPr>
                <w:rFonts w:asciiTheme="minorHAnsi" w:hAnsiTheme="minorHAnsi" w:cstheme="minorHAnsi"/>
                <w:szCs w:val="24"/>
              </w:rPr>
              <w:t xml:space="preserve">must be: </w:t>
            </w:r>
          </w:p>
          <w:p w14:paraId="5EAD6644" w14:textId="3B7500B2" w:rsidR="00BE26A5" w:rsidRPr="00BB021D" w:rsidRDefault="00BE26A5" w:rsidP="00BB021D">
            <w:pPr>
              <w:pStyle w:val="Default"/>
              <w:numPr>
                <w:ilvl w:val="0"/>
                <w:numId w:val="16"/>
              </w:numPr>
              <w:spacing w:after="106"/>
              <w:ind w:left="1735"/>
              <w:rPr>
                <w:rFonts w:asciiTheme="minorHAnsi" w:hAnsiTheme="minorHAnsi" w:cstheme="minorHAnsi"/>
              </w:rPr>
            </w:pPr>
            <w:r w:rsidRPr="00BB021D">
              <w:rPr>
                <w:rFonts w:asciiTheme="minorHAnsi" w:hAnsiTheme="minorHAnsi" w:cstheme="minorHAnsi"/>
              </w:rPr>
              <w:t xml:space="preserve"> referred to in the case of an outbreak of a vaccine preventable disease </w:t>
            </w:r>
          </w:p>
          <w:p w14:paraId="22A7E165" w14:textId="77777777" w:rsidR="00BB021D" w:rsidRPr="00BB021D" w:rsidRDefault="00BE26A5" w:rsidP="00BE26A5">
            <w:pPr>
              <w:pStyle w:val="Default"/>
              <w:numPr>
                <w:ilvl w:val="0"/>
                <w:numId w:val="16"/>
              </w:numPr>
              <w:spacing w:after="106"/>
              <w:ind w:left="1735"/>
              <w:rPr>
                <w:rFonts w:asciiTheme="minorHAnsi" w:hAnsiTheme="minorHAnsi" w:cstheme="minorHAnsi"/>
              </w:rPr>
            </w:pPr>
            <w:r w:rsidRPr="00BB021D">
              <w:rPr>
                <w:rFonts w:asciiTheme="minorHAnsi" w:hAnsiTheme="minorHAnsi" w:cstheme="minorHAnsi"/>
              </w:rPr>
              <w:t>produced on request for inspection by</w:t>
            </w:r>
          </w:p>
          <w:p w14:paraId="3D393AA3" w14:textId="2D27CC28" w:rsidR="00BE26A5" w:rsidRPr="00BB021D" w:rsidRDefault="00BE26A5" w:rsidP="00BB021D">
            <w:pPr>
              <w:pStyle w:val="Default"/>
              <w:numPr>
                <w:ilvl w:val="0"/>
                <w:numId w:val="21"/>
              </w:numPr>
              <w:spacing w:after="106"/>
              <w:rPr>
                <w:rFonts w:asciiTheme="minorHAnsi" w:hAnsiTheme="minorHAnsi" w:cstheme="minorHAnsi"/>
              </w:rPr>
            </w:pPr>
            <w:r w:rsidRPr="00BB021D">
              <w:rPr>
                <w:rFonts w:asciiTheme="minorHAnsi" w:hAnsiTheme="minorHAnsi" w:cstheme="minorHAnsi"/>
              </w:rPr>
              <w:t xml:space="preserve">a government health official </w:t>
            </w:r>
          </w:p>
          <w:p w14:paraId="578B4353" w14:textId="456FD6AC" w:rsidR="00BE26A5" w:rsidRPr="00BB021D" w:rsidRDefault="00BE26A5" w:rsidP="00BE26A5">
            <w:pPr>
              <w:pStyle w:val="Default"/>
              <w:numPr>
                <w:ilvl w:val="0"/>
                <w:numId w:val="21"/>
              </w:numPr>
              <w:spacing w:after="106"/>
              <w:rPr>
                <w:rFonts w:asciiTheme="minorHAnsi" w:hAnsiTheme="minorHAnsi" w:cstheme="minorHAnsi"/>
              </w:rPr>
            </w:pPr>
            <w:r w:rsidRPr="00BB021D">
              <w:rPr>
                <w:rFonts w:asciiTheme="minorHAnsi" w:hAnsiTheme="minorHAnsi" w:cstheme="minorHAnsi"/>
              </w:rPr>
              <w:t xml:space="preserve">the regulatory authority. </w:t>
            </w:r>
          </w:p>
          <w:p w14:paraId="79127E6B" w14:textId="17E9C914" w:rsidR="006275C9" w:rsidRPr="00CC4555" w:rsidRDefault="006275C9" w:rsidP="00BE26A5">
            <w:pPr>
              <w:pStyle w:val="ListParagraph"/>
              <w:ind w:left="0"/>
              <w:rPr>
                <w:rFonts w:eastAsia="Arial" w:cstheme="minorHAnsi"/>
                <w:i/>
                <w:sz w:val="24"/>
                <w:szCs w:val="24"/>
              </w:rPr>
            </w:pPr>
          </w:p>
        </w:tc>
      </w:tr>
    </w:tbl>
    <w:p w14:paraId="331E8539" w14:textId="70F4470E" w:rsidR="000C32DE" w:rsidRP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13A46" w:rsidRPr="00F13A46" w14:paraId="1E60FBA2" w14:textId="77777777" w:rsidTr="00F13A46">
        <w:trPr>
          <w:tblCellSpacing w:w="15" w:type="dxa"/>
        </w:trPr>
        <w:tc>
          <w:tcPr>
            <w:tcW w:w="0" w:type="auto"/>
            <w:vAlign w:val="center"/>
            <w:hideMark/>
          </w:tcPr>
          <w:p w14:paraId="6BE3D4A0" w14:textId="77777777" w:rsidR="00F13A46" w:rsidRPr="00F13A46" w:rsidRDefault="00F13A46" w:rsidP="00B5541C">
            <w:pPr>
              <w:spacing w:before="100" w:beforeAutospacing="1" w:after="100" w:afterAutospacing="1" w:line="240" w:lineRule="auto"/>
              <w:ind w:left="720"/>
              <w:rPr>
                <w:rFonts w:ascii="Times New Roman" w:eastAsia="Times New Roman" w:hAnsi="Times New Roman" w:cs="Times New Roman"/>
                <w:sz w:val="24"/>
                <w:szCs w:val="24"/>
                <w:lang w:val="en" w:eastAsia="en-AU"/>
              </w:rPr>
            </w:pPr>
          </w:p>
        </w:tc>
      </w:tr>
    </w:tbl>
    <w:p w14:paraId="3594533D" w14:textId="77777777" w:rsidR="00387AEC" w:rsidRPr="00387AEC" w:rsidRDefault="00387AEC">
      <w:pPr>
        <w:rPr>
          <w:lang w:val="en-US"/>
        </w:rPr>
      </w:pPr>
    </w:p>
    <w:sectPr w:rsidR="00387AEC" w:rsidRPr="00387AEC" w:rsidSect="00496CFB">
      <w:pgSz w:w="11906" w:h="16838"/>
      <w:pgMar w:top="107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22A62"/>
    <w:multiLevelType w:val="multilevel"/>
    <w:tmpl w:val="652E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17670"/>
    <w:multiLevelType w:val="multilevel"/>
    <w:tmpl w:val="FA2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9422A"/>
    <w:multiLevelType w:val="hybridMultilevel"/>
    <w:tmpl w:val="61E633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1196B"/>
    <w:multiLevelType w:val="multilevel"/>
    <w:tmpl w:val="87C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731DA3"/>
    <w:multiLevelType w:val="hybridMultilevel"/>
    <w:tmpl w:val="F5EE46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DF00AF"/>
    <w:multiLevelType w:val="hybridMultilevel"/>
    <w:tmpl w:val="DD92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B658E2"/>
    <w:multiLevelType w:val="hybridMultilevel"/>
    <w:tmpl w:val="1E62098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06124B7"/>
    <w:multiLevelType w:val="hybridMultilevel"/>
    <w:tmpl w:val="9092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175518"/>
    <w:multiLevelType w:val="multilevel"/>
    <w:tmpl w:val="9C4E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D5A61C2"/>
    <w:multiLevelType w:val="hybridMultilevel"/>
    <w:tmpl w:val="0EF42386"/>
    <w:lvl w:ilvl="0" w:tplc="373201C4">
      <w:start w:val="1"/>
      <w:numFmt w:val="bullet"/>
      <w:lvlText w:val="-"/>
      <w:lvlJc w:val="left"/>
      <w:pPr>
        <w:ind w:left="1800" w:hanging="360"/>
      </w:pPr>
      <w:rPr>
        <w:rFonts w:ascii="Calibri" w:eastAsia="Arial Unicode MS"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78005984"/>
    <w:multiLevelType w:val="hybridMultilevel"/>
    <w:tmpl w:val="A978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255BE6"/>
    <w:multiLevelType w:val="hybridMultilevel"/>
    <w:tmpl w:val="948433E2"/>
    <w:lvl w:ilvl="0" w:tplc="0C090003">
      <w:start w:val="1"/>
      <w:numFmt w:val="bullet"/>
      <w:lvlText w:val="o"/>
      <w:lvlJc w:val="left"/>
      <w:pPr>
        <w:ind w:left="2813" w:hanging="360"/>
      </w:pPr>
      <w:rPr>
        <w:rFonts w:ascii="Courier New" w:hAnsi="Courier New" w:cs="Courier New" w:hint="default"/>
      </w:rPr>
    </w:lvl>
    <w:lvl w:ilvl="1" w:tplc="0C090003" w:tentative="1">
      <w:start w:val="1"/>
      <w:numFmt w:val="bullet"/>
      <w:lvlText w:val="o"/>
      <w:lvlJc w:val="left"/>
      <w:pPr>
        <w:ind w:left="3533" w:hanging="360"/>
      </w:pPr>
      <w:rPr>
        <w:rFonts w:ascii="Courier New" w:hAnsi="Courier New" w:cs="Courier New" w:hint="default"/>
      </w:rPr>
    </w:lvl>
    <w:lvl w:ilvl="2" w:tplc="0C090005" w:tentative="1">
      <w:start w:val="1"/>
      <w:numFmt w:val="bullet"/>
      <w:lvlText w:val=""/>
      <w:lvlJc w:val="left"/>
      <w:pPr>
        <w:ind w:left="4253" w:hanging="360"/>
      </w:pPr>
      <w:rPr>
        <w:rFonts w:ascii="Wingdings" w:hAnsi="Wingdings" w:hint="default"/>
      </w:rPr>
    </w:lvl>
    <w:lvl w:ilvl="3" w:tplc="0C090001" w:tentative="1">
      <w:start w:val="1"/>
      <w:numFmt w:val="bullet"/>
      <w:lvlText w:val=""/>
      <w:lvlJc w:val="left"/>
      <w:pPr>
        <w:ind w:left="4973" w:hanging="360"/>
      </w:pPr>
      <w:rPr>
        <w:rFonts w:ascii="Symbol" w:hAnsi="Symbol" w:hint="default"/>
      </w:rPr>
    </w:lvl>
    <w:lvl w:ilvl="4" w:tplc="0C090003" w:tentative="1">
      <w:start w:val="1"/>
      <w:numFmt w:val="bullet"/>
      <w:lvlText w:val="o"/>
      <w:lvlJc w:val="left"/>
      <w:pPr>
        <w:ind w:left="5693" w:hanging="360"/>
      </w:pPr>
      <w:rPr>
        <w:rFonts w:ascii="Courier New" w:hAnsi="Courier New" w:cs="Courier New" w:hint="default"/>
      </w:rPr>
    </w:lvl>
    <w:lvl w:ilvl="5" w:tplc="0C090005" w:tentative="1">
      <w:start w:val="1"/>
      <w:numFmt w:val="bullet"/>
      <w:lvlText w:val=""/>
      <w:lvlJc w:val="left"/>
      <w:pPr>
        <w:ind w:left="6413" w:hanging="360"/>
      </w:pPr>
      <w:rPr>
        <w:rFonts w:ascii="Wingdings" w:hAnsi="Wingdings" w:hint="default"/>
      </w:rPr>
    </w:lvl>
    <w:lvl w:ilvl="6" w:tplc="0C090001" w:tentative="1">
      <w:start w:val="1"/>
      <w:numFmt w:val="bullet"/>
      <w:lvlText w:val=""/>
      <w:lvlJc w:val="left"/>
      <w:pPr>
        <w:ind w:left="7133" w:hanging="360"/>
      </w:pPr>
      <w:rPr>
        <w:rFonts w:ascii="Symbol" w:hAnsi="Symbol" w:hint="default"/>
      </w:rPr>
    </w:lvl>
    <w:lvl w:ilvl="7" w:tplc="0C090003" w:tentative="1">
      <w:start w:val="1"/>
      <w:numFmt w:val="bullet"/>
      <w:lvlText w:val="o"/>
      <w:lvlJc w:val="left"/>
      <w:pPr>
        <w:ind w:left="7853" w:hanging="360"/>
      </w:pPr>
      <w:rPr>
        <w:rFonts w:ascii="Courier New" w:hAnsi="Courier New" w:cs="Courier New" w:hint="default"/>
      </w:rPr>
    </w:lvl>
    <w:lvl w:ilvl="8" w:tplc="0C090005" w:tentative="1">
      <w:start w:val="1"/>
      <w:numFmt w:val="bullet"/>
      <w:lvlText w:val=""/>
      <w:lvlJc w:val="left"/>
      <w:pPr>
        <w:ind w:left="8573" w:hanging="360"/>
      </w:pPr>
      <w:rPr>
        <w:rFonts w:ascii="Wingdings" w:hAnsi="Wingdings" w:hint="default"/>
      </w:rPr>
    </w:lvl>
  </w:abstractNum>
  <w:num w:numId="1">
    <w:abstractNumId w:val="11"/>
  </w:num>
  <w:num w:numId="2">
    <w:abstractNumId w:val="9"/>
  </w:num>
  <w:num w:numId="3">
    <w:abstractNumId w:val="6"/>
  </w:num>
  <w:num w:numId="4">
    <w:abstractNumId w:val="15"/>
  </w:num>
  <w:num w:numId="5">
    <w:abstractNumId w:val="10"/>
  </w:num>
  <w:num w:numId="6">
    <w:abstractNumId w:val="18"/>
  </w:num>
  <w:num w:numId="7">
    <w:abstractNumId w:val="3"/>
  </w:num>
  <w:num w:numId="8">
    <w:abstractNumId w:val="0"/>
  </w:num>
  <w:num w:numId="9">
    <w:abstractNumId w:val="13"/>
  </w:num>
  <w:num w:numId="10">
    <w:abstractNumId w:val="7"/>
  </w:num>
  <w:num w:numId="11">
    <w:abstractNumId w:val="2"/>
  </w:num>
  <w:num w:numId="12">
    <w:abstractNumId w:val="1"/>
  </w:num>
  <w:num w:numId="13">
    <w:abstractNumId w:val="17"/>
  </w:num>
  <w:num w:numId="14">
    <w:abstractNumId w:val="12"/>
  </w:num>
  <w:num w:numId="15">
    <w:abstractNumId w:val="4"/>
  </w:num>
  <w:num w:numId="16">
    <w:abstractNumId w:val="16"/>
  </w:num>
  <w:num w:numId="17">
    <w:abstractNumId w:val="2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79EE"/>
    <w:rsid w:val="000C32DE"/>
    <w:rsid w:val="00107F59"/>
    <w:rsid w:val="00111C3F"/>
    <w:rsid w:val="00156CBE"/>
    <w:rsid w:val="0016232C"/>
    <w:rsid w:val="00177C64"/>
    <w:rsid w:val="001D3BEE"/>
    <w:rsid w:val="002176A4"/>
    <w:rsid w:val="00242695"/>
    <w:rsid w:val="00260455"/>
    <w:rsid w:val="002F5D50"/>
    <w:rsid w:val="0032476C"/>
    <w:rsid w:val="00357296"/>
    <w:rsid w:val="00365CD3"/>
    <w:rsid w:val="00386A2D"/>
    <w:rsid w:val="00387AEC"/>
    <w:rsid w:val="003C2478"/>
    <w:rsid w:val="003D212C"/>
    <w:rsid w:val="003F627F"/>
    <w:rsid w:val="0040685C"/>
    <w:rsid w:val="00417C6F"/>
    <w:rsid w:val="004310DF"/>
    <w:rsid w:val="00443181"/>
    <w:rsid w:val="00455FF2"/>
    <w:rsid w:val="00472F30"/>
    <w:rsid w:val="004826E0"/>
    <w:rsid w:val="00496CFB"/>
    <w:rsid w:val="004B6D0A"/>
    <w:rsid w:val="00522F4D"/>
    <w:rsid w:val="005273CE"/>
    <w:rsid w:val="005523DE"/>
    <w:rsid w:val="005602DB"/>
    <w:rsid w:val="005840EB"/>
    <w:rsid w:val="006178DE"/>
    <w:rsid w:val="006275C9"/>
    <w:rsid w:val="00647E51"/>
    <w:rsid w:val="00651460"/>
    <w:rsid w:val="006B327C"/>
    <w:rsid w:val="006F0C78"/>
    <w:rsid w:val="007306D0"/>
    <w:rsid w:val="0073507C"/>
    <w:rsid w:val="00777FBF"/>
    <w:rsid w:val="007E0D62"/>
    <w:rsid w:val="007E1A6E"/>
    <w:rsid w:val="007F0D50"/>
    <w:rsid w:val="008058F0"/>
    <w:rsid w:val="00807348"/>
    <w:rsid w:val="00830C4B"/>
    <w:rsid w:val="00850F58"/>
    <w:rsid w:val="008542B0"/>
    <w:rsid w:val="008775FC"/>
    <w:rsid w:val="008A132E"/>
    <w:rsid w:val="00904F41"/>
    <w:rsid w:val="00910E38"/>
    <w:rsid w:val="00913704"/>
    <w:rsid w:val="00954AE4"/>
    <w:rsid w:val="00957ECD"/>
    <w:rsid w:val="0099193C"/>
    <w:rsid w:val="009D2282"/>
    <w:rsid w:val="009E0946"/>
    <w:rsid w:val="009F0851"/>
    <w:rsid w:val="00A00D26"/>
    <w:rsid w:val="00A67192"/>
    <w:rsid w:val="00A6729E"/>
    <w:rsid w:val="00A67E4B"/>
    <w:rsid w:val="00A73636"/>
    <w:rsid w:val="00B20D7C"/>
    <w:rsid w:val="00B5541C"/>
    <w:rsid w:val="00B731A9"/>
    <w:rsid w:val="00B81A2C"/>
    <w:rsid w:val="00BB021D"/>
    <w:rsid w:val="00BE26A5"/>
    <w:rsid w:val="00C844B6"/>
    <w:rsid w:val="00CC3307"/>
    <w:rsid w:val="00CC4555"/>
    <w:rsid w:val="00CC46CB"/>
    <w:rsid w:val="00CE26B7"/>
    <w:rsid w:val="00D01D5E"/>
    <w:rsid w:val="00D045CC"/>
    <w:rsid w:val="00D34CEB"/>
    <w:rsid w:val="00D61D2C"/>
    <w:rsid w:val="00D71205"/>
    <w:rsid w:val="00D81809"/>
    <w:rsid w:val="00DD6AA7"/>
    <w:rsid w:val="00E24213"/>
    <w:rsid w:val="00E35D69"/>
    <w:rsid w:val="00E567DE"/>
    <w:rsid w:val="00E6765F"/>
    <w:rsid w:val="00E82A15"/>
    <w:rsid w:val="00EF4A13"/>
    <w:rsid w:val="00F02FC9"/>
    <w:rsid w:val="00F13A46"/>
    <w:rsid w:val="00F6466F"/>
    <w:rsid w:val="00F6653B"/>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 w:type="paragraph" w:customStyle="1" w:styleId="Body1">
    <w:name w:val="Body 1"/>
    <w:rsid w:val="00BE26A5"/>
    <w:pPr>
      <w:spacing w:after="0" w:line="240" w:lineRule="auto"/>
    </w:pPr>
    <w:rPr>
      <w:rFonts w:ascii="Helvetica" w:eastAsia="Arial Unicode MS" w:hAnsi="Helvetica" w:cs="Times New Roman"/>
      <w:color w:val="000000"/>
      <w:sz w:val="24"/>
      <w:szCs w:val="20"/>
      <w:lang w:eastAsia="en-AU"/>
    </w:rPr>
  </w:style>
  <w:style w:type="character" w:styleId="UnresolvedMention">
    <w:name w:val="Unresolved Mention"/>
    <w:basedOn w:val="DefaultParagraphFont"/>
    <w:uiPriority w:val="99"/>
    <w:semiHidden/>
    <w:unhideWhenUsed/>
    <w:rsid w:val="00BE26A5"/>
    <w:rPr>
      <w:color w:val="605E5C"/>
      <w:shd w:val="clear" w:color="auto" w:fill="E1DFDD"/>
    </w:rPr>
  </w:style>
  <w:style w:type="paragraph" w:customStyle="1" w:styleId="Default">
    <w:name w:val="Default"/>
    <w:rsid w:val="00BE26A5"/>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preschool/policies-and-procedures" TargetMode="External"/><Relationship Id="rId3" Type="http://schemas.openxmlformats.org/officeDocument/2006/relationships/settings" Target="settings.xml"/><Relationship Id="rId7" Type="http://schemas.openxmlformats.org/officeDocument/2006/relationships/hyperlink" Target="https://schoolsequella.det.nsw.edu.au/file/a240a1ff-d3e3-4883-92b4-a3591f4e12d7/1/leading-and-operating-department-preschool-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Rebecca Dodds</cp:lastModifiedBy>
  <cp:revision>3</cp:revision>
  <cp:lastPrinted>2017-08-24T03:50:00Z</cp:lastPrinted>
  <dcterms:created xsi:type="dcterms:W3CDTF">2020-09-27T07:56:00Z</dcterms:created>
  <dcterms:modified xsi:type="dcterms:W3CDTF">2020-09-27T07:58:00Z</dcterms:modified>
</cp:coreProperties>
</file>