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A75" w14:textId="17B2BE30"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9264"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5">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2228" id="_x0000_t202" coordsize="21600,21600" o:spt="202" path="m,l,21600r21600,l21600,xe">
                <v:stroke joinstyle="miter"/>
                <v:path gradientshapeok="t" o:connecttype="rect"/>
              </v:shapetype>
              <v:shape id="Text Box 2" o:spid="_x0000_s1026" type="#_x0000_t202" style="position:absolute;margin-left:453pt;margin-top:.15pt;width:80.4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stroked="f">
                <v:textbo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6">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107F59">
        <w:rPr>
          <w:rFonts w:ascii="Arial" w:eastAsia="Arial" w:hAnsi="Arial" w:cs="Arial"/>
          <w:b/>
          <w:color w:val="0070C0"/>
          <w:sz w:val="30"/>
          <w:szCs w:val="30"/>
        </w:rPr>
        <w:t>Waratah</w:t>
      </w:r>
      <w:r w:rsidR="002F5D50">
        <w:rPr>
          <w:rFonts w:ascii="Arial" w:eastAsia="Arial" w:hAnsi="Arial" w:cs="Arial"/>
          <w:b/>
          <w:color w:val="0070C0"/>
          <w:sz w:val="30"/>
          <w:szCs w:val="30"/>
        </w:rPr>
        <w:t xml:space="preserve"> Public School Preschool</w:t>
      </w:r>
      <w:r w:rsidR="00EF4A13">
        <w:rPr>
          <w:rFonts w:ascii="Arial" w:eastAsia="Arial" w:hAnsi="Arial" w:cs="Arial"/>
          <w:b/>
          <w:color w:val="0070C0"/>
          <w:sz w:val="30"/>
          <w:szCs w:val="30"/>
        </w:rPr>
        <w:t xml:space="preserve"> Procedure</w:t>
      </w:r>
    </w:p>
    <w:p w14:paraId="3863B185" w14:textId="4054599A" w:rsidR="00B5541C" w:rsidRPr="006275C9" w:rsidRDefault="00AE30BA" w:rsidP="00AE30BA">
      <w:pPr>
        <w:rPr>
          <w:rFonts w:ascii="Arial" w:eastAsia="Arial" w:hAnsi="Arial" w:cs="Arial"/>
          <w:b/>
          <w:color w:val="0070C0"/>
          <w:sz w:val="36"/>
          <w:szCs w:val="36"/>
        </w:rPr>
      </w:pPr>
      <w:r>
        <w:rPr>
          <w:rFonts w:ascii="Arial" w:eastAsia="Arial" w:hAnsi="Arial" w:cs="Arial"/>
          <w:b/>
          <w:color w:val="0070C0"/>
          <w:sz w:val="36"/>
          <w:szCs w:val="36"/>
        </w:rPr>
        <w:t>Children involved in legal proceedings (Court orders and AVO)</w:t>
      </w:r>
    </w:p>
    <w:p w14:paraId="3C0BBDB2" w14:textId="63D50EB3" w:rsidR="00CC3307" w:rsidRPr="00CC3307" w:rsidRDefault="00EF4A13" w:rsidP="00CC3307">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AA7C42">
        <w:rPr>
          <w:rFonts w:ascii="Arial" w:hAnsi="Arial" w:cs="Arial"/>
          <w:b/>
          <w:color w:val="0070C0"/>
          <w:sz w:val="24"/>
          <w:szCs w:val="24"/>
          <w:lang w:val="en-US"/>
        </w:rPr>
        <w:t>30</w:t>
      </w:r>
      <w:r w:rsidR="00B20D7C">
        <w:rPr>
          <w:rFonts w:ascii="Arial" w:hAnsi="Arial" w:cs="Arial"/>
          <w:b/>
          <w:color w:val="0070C0"/>
          <w:sz w:val="24"/>
          <w:szCs w:val="24"/>
          <w:lang w:val="en-US"/>
        </w:rPr>
        <w:t>/</w:t>
      </w:r>
      <w:r w:rsidR="00AA7C42">
        <w:rPr>
          <w:rFonts w:ascii="Arial" w:hAnsi="Arial" w:cs="Arial"/>
          <w:b/>
          <w:color w:val="0070C0"/>
          <w:sz w:val="24"/>
          <w:szCs w:val="24"/>
          <w:lang w:val="en-US"/>
        </w:rPr>
        <w:t>10</w:t>
      </w:r>
      <w:r w:rsidR="00B20D7C">
        <w:rPr>
          <w:rFonts w:ascii="Arial" w:hAnsi="Arial" w:cs="Arial"/>
          <w:b/>
          <w:color w:val="0070C0"/>
          <w:sz w:val="24"/>
          <w:szCs w:val="24"/>
          <w:lang w:val="en-US"/>
        </w:rPr>
        <w:t>/20</w:t>
      </w:r>
      <w:r>
        <w:rPr>
          <w:rFonts w:ascii="Arial" w:hAnsi="Arial" w:cs="Arial"/>
          <w:b/>
          <w:color w:val="0070C0"/>
          <w:sz w:val="24"/>
          <w:szCs w:val="24"/>
          <w:lang w:val="en-US"/>
        </w:rPr>
        <w:t xml:space="preserve"> </w:t>
      </w: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110"/>
        <w:gridCol w:w="1418"/>
        <w:gridCol w:w="1701"/>
        <w:gridCol w:w="1417"/>
      </w:tblGrid>
      <w:tr w:rsidR="006275C9" w:rsidRPr="00EF4A13" w14:paraId="1CF3881D" w14:textId="7109CE5B" w:rsidTr="006275C9">
        <w:trPr>
          <w:trHeight w:val="120"/>
        </w:trPr>
        <w:tc>
          <w:tcPr>
            <w:tcW w:w="22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209CDCB0" w:rsidR="006275C9" w:rsidRPr="006275C9" w:rsidRDefault="00242695" w:rsidP="006275C9">
            <w:pPr>
              <w:spacing w:line="240" w:lineRule="auto"/>
              <w:jc w:val="center"/>
              <w:rPr>
                <w:rFonts w:cstheme="minorHAnsi"/>
                <w:b/>
                <w:sz w:val="24"/>
                <w:szCs w:val="24"/>
              </w:rPr>
            </w:pPr>
            <w:r w:rsidRPr="00A941DA">
              <w:rPr>
                <w:rFonts w:eastAsia="Arial" w:cs="Arial"/>
                <w:bCs/>
                <w:lang w:bidi="en-US"/>
              </w:rPr>
              <w:t>Education and Care Services National Law or Regulation</w:t>
            </w:r>
          </w:p>
        </w:tc>
        <w:tc>
          <w:tcPr>
            <w:tcW w:w="41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64F69A96" w:rsidR="006275C9" w:rsidRPr="006275C9" w:rsidRDefault="00242695" w:rsidP="006275C9">
            <w:pPr>
              <w:spacing w:line="240" w:lineRule="auto"/>
              <w:jc w:val="center"/>
              <w:rPr>
                <w:rFonts w:cstheme="minorHAnsi"/>
                <w:b/>
                <w:sz w:val="24"/>
                <w:szCs w:val="24"/>
              </w:rPr>
            </w:pPr>
            <w:r>
              <w:rPr>
                <w:rFonts w:eastAsia="Arial" w:cs="Arial"/>
                <w:bCs/>
                <w:lang w:bidi="en-US"/>
              </w:rPr>
              <w:t>Associated d</w:t>
            </w:r>
            <w:r w:rsidRPr="00A941DA">
              <w:rPr>
                <w:rFonts w:eastAsia="Arial" w:cs="Arial"/>
                <w:bCs/>
                <w:lang w:bidi="en-US"/>
              </w:rPr>
              <w:t>epartment policy, procedure or guideline</w:t>
            </w:r>
          </w:p>
        </w:tc>
        <w:tc>
          <w:tcPr>
            <w:tcW w:w="14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FE577E8" w14:textId="41C637C9" w:rsidR="006275C9" w:rsidRPr="00651460" w:rsidRDefault="006931B2" w:rsidP="006275C9">
            <w:pPr>
              <w:spacing w:line="240" w:lineRule="auto"/>
              <w:jc w:val="center"/>
              <w:rPr>
                <w:rFonts w:eastAsia="Arial" w:cstheme="minorHAnsi"/>
                <w:sz w:val="24"/>
                <w:szCs w:val="24"/>
              </w:rPr>
            </w:pPr>
            <w:hyperlink r:id="rId7" w:history="1">
              <w:r w:rsidR="006275C9" w:rsidRPr="00651460">
                <w:rPr>
                  <w:rStyle w:val="Hyperlink"/>
                  <w:rFonts w:eastAsia="Arial" w:cstheme="minorHAnsi"/>
                </w:rPr>
                <w:t>Preschool Guidelines</w:t>
              </w:r>
            </w:hyperlink>
            <w:r w:rsidR="006275C9" w:rsidRPr="00651460">
              <w:rPr>
                <w:rFonts w:eastAsia="Arial" w:cstheme="minorHAnsi"/>
              </w:rPr>
              <w:t xml:space="preserve"> 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35EDE0" w14:textId="46A28A5E" w:rsidR="006275C9" w:rsidRPr="00651460" w:rsidRDefault="00242695" w:rsidP="006275C9">
            <w:pPr>
              <w:spacing w:line="240" w:lineRule="auto"/>
              <w:jc w:val="center"/>
              <w:rPr>
                <w:rFonts w:eastAsia="Arial" w:cstheme="minorHAnsi"/>
                <w:sz w:val="24"/>
                <w:szCs w:val="24"/>
              </w:rPr>
            </w:pPr>
            <w:r w:rsidRPr="00651460">
              <w:rPr>
                <w:rFonts w:eastAsia="Arial" w:cs="Arial"/>
                <w:bCs/>
                <w:lang w:bidi="en-US"/>
              </w:rPr>
              <w:t>Associated National Quality Standard</w:t>
            </w:r>
          </w:p>
        </w:tc>
        <w:tc>
          <w:tcPr>
            <w:tcW w:w="14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03E68C7" w14:textId="4B0A4B8C" w:rsidR="006275C9" w:rsidRPr="00651460" w:rsidRDefault="006275C9" w:rsidP="006275C9">
            <w:pPr>
              <w:spacing w:line="240" w:lineRule="auto"/>
              <w:jc w:val="center"/>
              <w:rPr>
                <w:rFonts w:cstheme="minorHAnsi"/>
                <w:sz w:val="24"/>
                <w:szCs w:val="24"/>
              </w:rPr>
            </w:pPr>
            <w:r w:rsidRPr="00651460">
              <w:rPr>
                <w:rFonts w:cstheme="minorHAnsi"/>
              </w:rPr>
              <w:t>School policy or procedure</w:t>
            </w:r>
          </w:p>
        </w:tc>
      </w:tr>
      <w:tr w:rsidR="009D3337" w:rsidRPr="00D61D2C" w14:paraId="0751E14E" w14:textId="15466D8B" w:rsidTr="006275C9">
        <w:trPr>
          <w:trHeight w:val="120"/>
        </w:trPr>
        <w:tc>
          <w:tcPr>
            <w:tcW w:w="2269" w:type="dxa"/>
            <w:shd w:val="clear" w:color="auto" w:fill="FFFFFF"/>
          </w:tcPr>
          <w:p w14:paraId="122D671B" w14:textId="77777777" w:rsidR="009D3337" w:rsidRPr="00FA35B8" w:rsidRDefault="006931B2" w:rsidP="009D3337">
            <w:pPr>
              <w:shd w:val="clear" w:color="auto" w:fill="FFFFFF"/>
              <w:spacing w:before="100" w:beforeAutospacing="1" w:after="100" w:afterAutospacing="1" w:line="240" w:lineRule="auto"/>
              <w:rPr>
                <w:rFonts w:cstheme="minorHAnsi"/>
              </w:rPr>
            </w:pPr>
            <w:hyperlink r:id="rId8" w:anchor="/view/regulation/2011/653/chap4/part4.2/div6/reg99" w:history="1">
              <w:r w:rsidR="009D3337" w:rsidRPr="00FA35B8">
                <w:rPr>
                  <w:rStyle w:val="Hyperlink"/>
                  <w:rFonts w:cstheme="minorHAnsi"/>
                </w:rPr>
                <w:t>Regulation 99</w:t>
              </w:r>
            </w:hyperlink>
          </w:p>
          <w:p w14:paraId="72D92E54" w14:textId="77777777" w:rsidR="009D3337" w:rsidRPr="00FA35B8" w:rsidRDefault="006931B2" w:rsidP="009D3337">
            <w:pPr>
              <w:shd w:val="clear" w:color="auto" w:fill="FFFFFF"/>
              <w:spacing w:before="100" w:beforeAutospacing="1" w:after="100" w:afterAutospacing="1" w:line="240" w:lineRule="auto"/>
              <w:rPr>
                <w:rFonts w:cstheme="minorHAnsi"/>
              </w:rPr>
            </w:pPr>
            <w:hyperlink r:id="rId9" w:anchor="/view/regulation/2011/653/chap4/part4.7/div1/subDiv1/reg158" w:history="1">
              <w:r w:rsidR="009D3337" w:rsidRPr="00FA35B8">
                <w:rPr>
                  <w:rStyle w:val="Hyperlink"/>
                  <w:rFonts w:cstheme="minorHAnsi"/>
                </w:rPr>
                <w:t>Regulation 158</w:t>
              </w:r>
            </w:hyperlink>
          </w:p>
          <w:p w14:paraId="10D33D36" w14:textId="77777777" w:rsidR="009D3337" w:rsidRPr="00FA35B8" w:rsidRDefault="006931B2" w:rsidP="009D3337">
            <w:pPr>
              <w:shd w:val="clear" w:color="auto" w:fill="FFFFFF"/>
              <w:spacing w:before="100" w:beforeAutospacing="1" w:after="100" w:afterAutospacing="1" w:line="240" w:lineRule="auto"/>
              <w:rPr>
                <w:rFonts w:cstheme="minorHAnsi"/>
              </w:rPr>
            </w:pPr>
            <w:hyperlink r:id="rId10" w:anchor="/view/regulation/2011/653/chap4/part4.7/div1/subDiv1/reg161" w:history="1">
              <w:r w:rsidR="009D3337" w:rsidRPr="00FA35B8">
                <w:rPr>
                  <w:rStyle w:val="Hyperlink"/>
                  <w:rFonts w:cstheme="minorHAnsi"/>
                </w:rPr>
                <w:t>Regulation 161</w:t>
              </w:r>
            </w:hyperlink>
          </w:p>
          <w:p w14:paraId="090D5710" w14:textId="12DFFB4A" w:rsidR="009D3337" w:rsidRPr="00851A33" w:rsidRDefault="006931B2" w:rsidP="006C123E">
            <w:pPr>
              <w:shd w:val="clear" w:color="auto" w:fill="FFFFFF"/>
              <w:spacing w:before="100" w:beforeAutospacing="1" w:after="100" w:afterAutospacing="1" w:line="240" w:lineRule="auto"/>
              <w:rPr>
                <w:rFonts w:cstheme="minorHAnsi"/>
                <w:sz w:val="24"/>
                <w:szCs w:val="24"/>
              </w:rPr>
            </w:pPr>
            <w:hyperlink r:id="rId11" w:anchor="/view/regulation/2011/653/chap4/part4.7/div2/reg168" w:history="1">
              <w:r w:rsidR="009D3337" w:rsidRPr="00FA35B8">
                <w:rPr>
                  <w:rStyle w:val="Hyperlink"/>
                  <w:rFonts w:cstheme="minorHAnsi"/>
                </w:rPr>
                <w:t>Regulation 168 (2)(f)</w:t>
              </w:r>
            </w:hyperlink>
          </w:p>
        </w:tc>
        <w:tc>
          <w:tcPr>
            <w:tcW w:w="4110" w:type="dxa"/>
            <w:shd w:val="clear" w:color="auto" w:fill="FFFFFF"/>
          </w:tcPr>
          <w:p w14:paraId="6F30A138" w14:textId="77777777" w:rsidR="009D3337" w:rsidRPr="00FA35B8" w:rsidRDefault="009D3337" w:rsidP="009D3337">
            <w:pPr>
              <w:shd w:val="clear" w:color="auto" w:fill="FFFFFF"/>
              <w:spacing w:before="100" w:beforeAutospacing="1" w:after="100" w:afterAutospacing="1" w:line="240" w:lineRule="auto"/>
              <w:rPr>
                <w:rFonts w:eastAsia="Times New Roman" w:cstheme="minorHAnsi"/>
                <w:color w:val="0070C0"/>
                <w:spacing w:val="2"/>
                <w:lang w:eastAsia="en-AU"/>
              </w:rPr>
            </w:pPr>
            <w:r w:rsidRPr="00FA35B8">
              <w:rPr>
                <w:rFonts w:eastAsia="Times New Roman" w:cstheme="minorHAnsi"/>
                <w:color w:val="000000"/>
                <w:spacing w:val="2"/>
                <w:lang w:eastAsia="en-AU"/>
              </w:rPr>
              <w:t xml:space="preserve">The following department policies and relevant documents can be accessed from the </w:t>
            </w:r>
            <w:r w:rsidRPr="00FA35B8">
              <w:rPr>
                <w:rFonts w:eastAsia="Times New Roman" w:cstheme="minorHAnsi"/>
                <w:color w:val="000000" w:themeColor="text1"/>
                <w:spacing w:val="2"/>
                <w:lang w:eastAsia="en-AU"/>
              </w:rPr>
              <w:t xml:space="preserve">preschool section of the department’s </w:t>
            </w:r>
            <w:hyperlink r:id="rId12" w:history="1">
              <w:r w:rsidRPr="00FA35B8">
                <w:rPr>
                  <w:rStyle w:val="Hyperlink"/>
                  <w:rFonts w:eastAsia="Times New Roman" w:cstheme="minorHAnsi"/>
                  <w:spacing w:val="2"/>
                  <w:lang w:eastAsia="en-AU"/>
                </w:rPr>
                <w:t>website</w:t>
              </w:r>
            </w:hyperlink>
            <w:r w:rsidRPr="00FA35B8">
              <w:rPr>
                <w:rFonts w:eastAsia="Times New Roman" w:cstheme="minorHAnsi"/>
                <w:color w:val="000000" w:themeColor="text1"/>
                <w:spacing w:val="2"/>
                <w:lang w:eastAsia="en-AU"/>
              </w:rPr>
              <w:t>;</w:t>
            </w:r>
          </w:p>
          <w:p w14:paraId="3E7918CC" w14:textId="37A5D389" w:rsidR="009D3337" w:rsidRPr="00851A33" w:rsidRDefault="009D3337" w:rsidP="009D3337">
            <w:pPr>
              <w:pStyle w:val="ListParagraph"/>
              <w:numPr>
                <w:ilvl w:val="0"/>
                <w:numId w:val="18"/>
              </w:numPr>
              <w:spacing w:before="100" w:beforeAutospacing="1" w:after="100" w:afterAutospacing="1" w:line="240" w:lineRule="auto"/>
              <w:rPr>
                <w:rFonts w:eastAsia="Times New Roman" w:cstheme="minorHAnsi"/>
                <w:sz w:val="24"/>
                <w:szCs w:val="24"/>
                <w:lang w:val="en" w:eastAsia="en-AU"/>
              </w:rPr>
            </w:pPr>
            <w:r w:rsidRPr="00FA35B8">
              <w:rPr>
                <w:rFonts w:eastAsia="Times New Roman" w:cstheme="minorHAnsi"/>
                <w:lang w:val="en" w:eastAsia="en-AU"/>
              </w:rPr>
              <w:t>Preschool – Obtaining Parent’s authorisation and consent</w:t>
            </w:r>
          </w:p>
        </w:tc>
        <w:tc>
          <w:tcPr>
            <w:tcW w:w="1418" w:type="dxa"/>
            <w:shd w:val="clear" w:color="auto" w:fill="FFFFFF"/>
          </w:tcPr>
          <w:p w14:paraId="749BA63D" w14:textId="77777777" w:rsidR="009D3337" w:rsidRPr="00FA35B8" w:rsidRDefault="009D3337" w:rsidP="009D3337">
            <w:pPr>
              <w:rPr>
                <w:rFonts w:cstheme="minorHAnsi"/>
              </w:rPr>
            </w:pPr>
          </w:p>
          <w:p w14:paraId="12456D92" w14:textId="77777777" w:rsidR="009D3337" w:rsidRPr="00FA35B8" w:rsidRDefault="009D3337" w:rsidP="009D3337">
            <w:pPr>
              <w:rPr>
                <w:rFonts w:cstheme="minorHAnsi"/>
              </w:rPr>
            </w:pPr>
            <w:r w:rsidRPr="00FA35B8">
              <w:rPr>
                <w:rFonts w:cstheme="minorHAnsi"/>
              </w:rPr>
              <w:t>pg. 41-44</w:t>
            </w:r>
          </w:p>
          <w:p w14:paraId="4914E265" w14:textId="0C8933D0" w:rsidR="009D3337" w:rsidRPr="00851A33" w:rsidRDefault="009D3337" w:rsidP="009D3337">
            <w:pPr>
              <w:rPr>
                <w:rFonts w:cstheme="minorHAnsi"/>
                <w:sz w:val="24"/>
                <w:szCs w:val="24"/>
              </w:rPr>
            </w:pPr>
            <w:r w:rsidRPr="00FA35B8">
              <w:rPr>
                <w:rFonts w:cstheme="minorHAnsi"/>
              </w:rPr>
              <w:t>Appendix M</w:t>
            </w:r>
          </w:p>
        </w:tc>
        <w:tc>
          <w:tcPr>
            <w:tcW w:w="1701" w:type="dxa"/>
            <w:shd w:val="clear" w:color="auto" w:fill="FFFFFF"/>
          </w:tcPr>
          <w:p w14:paraId="2CBA7C55" w14:textId="77777777" w:rsidR="009D3337" w:rsidRPr="00FA35B8" w:rsidRDefault="009D3337" w:rsidP="009D3337">
            <w:pPr>
              <w:spacing w:line="240" w:lineRule="auto"/>
              <w:jc w:val="center"/>
              <w:rPr>
                <w:rFonts w:cstheme="minorHAnsi"/>
              </w:rPr>
            </w:pPr>
          </w:p>
          <w:p w14:paraId="09409037" w14:textId="77777777" w:rsidR="009D3337" w:rsidRPr="00FA35B8" w:rsidRDefault="009D3337" w:rsidP="009D3337">
            <w:pPr>
              <w:spacing w:line="240" w:lineRule="auto"/>
              <w:jc w:val="center"/>
              <w:rPr>
                <w:rFonts w:cstheme="minorHAnsi"/>
              </w:rPr>
            </w:pPr>
            <w:r w:rsidRPr="00FA35B8">
              <w:rPr>
                <w:rFonts w:cstheme="minorHAnsi"/>
              </w:rPr>
              <w:t>2.2</w:t>
            </w:r>
          </w:p>
          <w:p w14:paraId="413E1FAC" w14:textId="0CE93E76" w:rsidR="009D3337" w:rsidRPr="00851A33" w:rsidRDefault="009D3337" w:rsidP="009D3337">
            <w:pPr>
              <w:spacing w:line="240" w:lineRule="auto"/>
              <w:jc w:val="center"/>
              <w:rPr>
                <w:rFonts w:cstheme="minorHAnsi"/>
                <w:sz w:val="24"/>
                <w:szCs w:val="24"/>
              </w:rPr>
            </w:pPr>
            <w:r w:rsidRPr="00FA35B8">
              <w:rPr>
                <w:rFonts w:cstheme="minorHAnsi"/>
              </w:rPr>
              <w:t>7.1</w:t>
            </w:r>
          </w:p>
        </w:tc>
        <w:tc>
          <w:tcPr>
            <w:tcW w:w="1417" w:type="dxa"/>
            <w:shd w:val="clear" w:color="auto" w:fill="FFFFFF"/>
          </w:tcPr>
          <w:p w14:paraId="0090CEDE" w14:textId="77777777" w:rsidR="009D3337" w:rsidRDefault="009D3337" w:rsidP="009D3337">
            <w:pPr>
              <w:spacing w:line="240" w:lineRule="auto"/>
              <w:rPr>
                <w:rFonts w:cstheme="minorHAnsi"/>
                <w:sz w:val="24"/>
                <w:szCs w:val="24"/>
              </w:rPr>
            </w:pPr>
          </w:p>
          <w:p w14:paraId="49E51967" w14:textId="026BE730" w:rsidR="00A54B64" w:rsidRPr="00851A33" w:rsidRDefault="00A54B64" w:rsidP="009D3337">
            <w:pPr>
              <w:spacing w:line="240" w:lineRule="auto"/>
              <w:rPr>
                <w:rFonts w:cstheme="minorHAnsi"/>
                <w:sz w:val="24"/>
                <w:szCs w:val="24"/>
              </w:rPr>
            </w:pPr>
          </w:p>
        </w:tc>
      </w:tr>
      <w:tr w:rsidR="006275C9" w:rsidRPr="00387AEC" w14:paraId="5CBC0EE5" w14:textId="750C6F30" w:rsidTr="00AB500D">
        <w:trPr>
          <w:trHeight w:val="120"/>
        </w:trPr>
        <w:tc>
          <w:tcPr>
            <w:tcW w:w="10915" w:type="dxa"/>
            <w:gridSpan w:val="5"/>
            <w:shd w:val="clear" w:color="auto" w:fill="FFFFFF"/>
          </w:tcPr>
          <w:p w14:paraId="6BA1B841" w14:textId="0A600BE0" w:rsidR="00851A33" w:rsidRPr="00A65F92" w:rsidRDefault="00A65F92" w:rsidP="00851A33">
            <w:pPr>
              <w:pStyle w:val="Body1"/>
              <w:rPr>
                <w:rFonts w:ascii="Calibri" w:hAnsi="Calibri" w:cs="Calibri"/>
                <w:b/>
                <w:bCs/>
                <w:szCs w:val="24"/>
              </w:rPr>
            </w:pPr>
            <w:r>
              <w:rPr>
                <w:rFonts w:ascii="Calibri" w:hAnsi="Calibri" w:cs="Calibri"/>
                <w:b/>
                <w:bCs/>
                <w:szCs w:val="24"/>
              </w:rPr>
              <w:t>The safety of all children is of utmost importance. It is the parent/carer’s responsibility to inform educators of any apprehended violence or court orders that affect their child/ren. It is the role of preschool educators to keep young children safe whilst in their care at an education and care service, including ensuring that court orders and AVO’s that are in place, are followed and the ‘Delivery and Collection’ Procedures are effective in ensuring the safety of all children.</w:t>
            </w:r>
          </w:p>
          <w:p w14:paraId="1CA64B34" w14:textId="77777777" w:rsidR="00A65F92" w:rsidRPr="00851A33" w:rsidRDefault="00A65F92" w:rsidP="00851A33">
            <w:pPr>
              <w:pStyle w:val="Body1"/>
              <w:rPr>
                <w:rFonts w:ascii="Calibri" w:hAnsi="Calibri" w:cs="Calibri"/>
                <w:b/>
                <w:bCs/>
                <w:i/>
                <w:iCs/>
                <w:szCs w:val="24"/>
              </w:rPr>
            </w:pPr>
          </w:p>
          <w:p w14:paraId="0158904D" w14:textId="703F01FA" w:rsidR="00C96E25" w:rsidRDefault="00B01D26" w:rsidP="00B01D26">
            <w:pPr>
              <w:pStyle w:val="Body1"/>
              <w:numPr>
                <w:ilvl w:val="0"/>
                <w:numId w:val="24"/>
              </w:numPr>
              <w:rPr>
                <w:rFonts w:ascii="Calibri" w:hAnsi="Calibri" w:cs="Calibri"/>
                <w:bCs/>
                <w:szCs w:val="24"/>
              </w:rPr>
            </w:pPr>
            <w:r>
              <w:rPr>
                <w:rFonts w:ascii="Calibri" w:hAnsi="Calibri" w:cs="Calibri"/>
                <w:bCs/>
                <w:szCs w:val="24"/>
              </w:rPr>
              <w:t>Upon enrolment, parents/caregivers provide additional information about their child and family circumstances, including indicating whether there are court orders o</w:t>
            </w:r>
            <w:r w:rsidR="00A65F92">
              <w:rPr>
                <w:rFonts w:ascii="Calibri" w:hAnsi="Calibri" w:cs="Calibri"/>
                <w:bCs/>
                <w:szCs w:val="24"/>
              </w:rPr>
              <w:t xml:space="preserve">r </w:t>
            </w:r>
            <w:r>
              <w:rPr>
                <w:rFonts w:ascii="Calibri" w:hAnsi="Calibri" w:cs="Calibri"/>
                <w:bCs/>
                <w:szCs w:val="24"/>
              </w:rPr>
              <w:t>AVO</w:t>
            </w:r>
            <w:r w:rsidR="00A65F92">
              <w:rPr>
                <w:rFonts w:ascii="Calibri" w:hAnsi="Calibri" w:cs="Calibri"/>
                <w:bCs/>
                <w:szCs w:val="24"/>
              </w:rPr>
              <w:t>’s</w:t>
            </w:r>
            <w:r>
              <w:rPr>
                <w:rFonts w:ascii="Calibri" w:hAnsi="Calibri" w:cs="Calibri"/>
                <w:bCs/>
                <w:szCs w:val="24"/>
              </w:rPr>
              <w:t xml:space="preserve"> in place for their child and/or family.</w:t>
            </w:r>
          </w:p>
          <w:p w14:paraId="496057FA" w14:textId="4D0577D8" w:rsidR="00B01D26" w:rsidRDefault="00B01D26" w:rsidP="00B01D26">
            <w:pPr>
              <w:pStyle w:val="Body1"/>
              <w:numPr>
                <w:ilvl w:val="0"/>
                <w:numId w:val="24"/>
              </w:numPr>
              <w:rPr>
                <w:rFonts w:ascii="Calibri" w:hAnsi="Calibri" w:cs="Calibri"/>
                <w:bCs/>
                <w:szCs w:val="24"/>
              </w:rPr>
            </w:pPr>
            <w:r>
              <w:rPr>
                <w:rFonts w:ascii="Calibri" w:hAnsi="Calibri" w:cs="Calibri"/>
                <w:bCs/>
                <w:szCs w:val="24"/>
              </w:rPr>
              <w:t>During the parent/carer meeting prior to enrolment, educators discuss the circumstances surrounding any AVO’s or court orders, obtain copies of documentation and explain the process followed in the case that an unauthorised person presents at the preschool to collect a child.</w:t>
            </w:r>
            <w:r w:rsidR="00A65F92">
              <w:rPr>
                <w:rFonts w:ascii="Calibri" w:hAnsi="Calibri" w:cs="Calibri"/>
                <w:bCs/>
                <w:szCs w:val="24"/>
              </w:rPr>
              <w:t xml:space="preserve"> Parents/carers are also asked if there is anyone that they do not want to collect their child, and this is recorded. </w:t>
            </w:r>
            <w:r>
              <w:rPr>
                <w:rFonts w:ascii="Calibri" w:hAnsi="Calibri" w:cs="Calibri"/>
                <w:bCs/>
                <w:szCs w:val="24"/>
              </w:rPr>
              <w:t xml:space="preserve"> </w:t>
            </w:r>
          </w:p>
          <w:p w14:paraId="597B1B9B" w14:textId="442CAF84" w:rsidR="00B01D26" w:rsidRDefault="00B01D26" w:rsidP="00B01D26">
            <w:pPr>
              <w:pStyle w:val="Body1"/>
              <w:numPr>
                <w:ilvl w:val="0"/>
                <w:numId w:val="24"/>
              </w:numPr>
              <w:rPr>
                <w:rFonts w:ascii="Calibri" w:hAnsi="Calibri" w:cs="Calibri"/>
                <w:bCs/>
                <w:szCs w:val="24"/>
              </w:rPr>
            </w:pPr>
            <w:r>
              <w:rPr>
                <w:rFonts w:ascii="Calibri" w:hAnsi="Calibri" w:cs="Calibri"/>
                <w:bCs/>
                <w:szCs w:val="24"/>
              </w:rPr>
              <w:t>Court orders and AVO’s are kept in the preschool staffroom and school administration office with a photo of the child related to the orders attached.</w:t>
            </w:r>
          </w:p>
          <w:p w14:paraId="04CABEFD" w14:textId="2638AF9B" w:rsidR="00B01D26" w:rsidRDefault="00B01D26" w:rsidP="00B01D26">
            <w:pPr>
              <w:pStyle w:val="Body1"/>
              <w:numPr>
                <w:ilvl w:val="0"/>
                <w:numId w:val="24"/>
              </w:numPr>
              <w:rPr>
                <w:rFonts w:ascii="Calibri" w:hAnsi="Calibri" w:cs="Calibri"/>
                <w:bCs/>
                <w:szCs w:val="24"/>
              </w:rPr>
            </w:pPr>
            <w:r>
              <w:rPr>
                <w:rFonts w:ascii="Calibri" w:hAnsi="Calibri" w:cs="Calibri"/>
                <w:bCs/>
                <w:szCs w:val="24"/>
              </w:rPr>
              <w:t xml:space="preserve">In the case where there is no court order or AVO, but a parent/carer has concerns over the safety of their child, staff are made aware of the situation </w:t>
            </w:r>
            <w:r w:rsidR="00A65F92">
              <w:rPr>
                <w:rFonts w:ascii="Calibri" w:hAnsi="Calibri" w:cs="Calibri"/>
                <w:bCs/>
                <w:szCs w:val="24"/>
              </w:rPr>
              <w:t xml:space="preserve">and concerns </w:t>
            </w:r>
            <w:r>
              <w:rPr>
                <w:rFonts w:ascii="Calibri" w:hAnsi="Calibri" w:cs="Calibri"/>
                <w:bCs/>
                <w:szCs w:val="24"/>
              </w:rPr>
              <w:t xml:space="preserve">and will follow the preschool’s regular ‘Delivery and Collection’ procedures. </w:t>
            </w:r>
          </w:p>
          <w:p w14:paraId="3BE6307D" w14:textId="0EF9033C" w:rsidR="00A65F92" w:rsidRDefault="00B01D26" w:rsidP="00B01D26">
            <w:pPr>
              <w:pStyle w:val="Body1"/>
              <w:numPr>
                <w:ilvl w:val="0"/>
                <w:numId w:val="24"/>
              </w:numPr>
              <w:rPr>
                <w:rFonts w:ascii="Calibri" w:hAnsi="Calibri" w:cs="Calibri"/>
                <w:bCs/>
                <w:szCs w:val="24"/>
              </w:rPr>
            </w:pPr>
            <w:r>
              <w:rPr>
                <w:rFonts w:ascii="Calibri" w:hAnsi="Calibri" w:cs="Calibri"/>
                <w:bCs/>
                <w:szCs w:val="24"/>
              </w:rPr>
              <w:t xml:space="preserve">If a person presents at the preschool to collect a child </w:t>
            </w:r>
            <w:r w:rsidR="00A65F92">
              <w:rPr>
                <w:rFonts w:ascii="Calibri" w:hAnsi="Calibri" w:cs="Calibri"/>
                <w:bCs/>
                <w:szCs w:val="24"/>
              </w:rPr>
              <w:t>who</w:t>
            </w:r>
            <w:r>
              <w:rPr>
                <w:rFonts w:ascii="Calibri" w:hAnsi="Calibri" w:cs="Calibri"/>
                <w:bCs/>
                <w:szCs w:val="24"/>
              </w:rPr>
              <w:t xml:space="preserve"> is not on the authorised collection list, educators </w:t>
            </w:r>
            <w:r w:rsidR="00345B41">
              <w:rPr>
                <w:rFonts w:ascii="Calibri" w:hAnsi="Calibri" w:cs="Calibri"/>
                <w:bCs/>
                <w:szCs w:val="24"/>
              </w:rPr>
              <w:t>will seek immediate support from the principal, the Nominated Supervisor to assist.</w:t>
            </w:r>
          </w:p>
          <w:p w14:paraId="63BE1B35" w14:textId="380C26CC" w:rsidR="00B01D26" w:rsidRDefault="00A65F92" w:rsidP="00B01D26">
            <w:pPr>
              <w:pStyle w:val="Body1"/>
              <w:numPr>
                <w:ilvl w:val="0"/>
                <w:numId w:val="24"/>
              </w:numPr>
              <w:rPr>
                <w:rFonts w:ascii="Calibri" w:hAnsi="Calibri" w:cs="Calibri"/>
                <w:bCs/>
                <w:szCs w:val="24"/>
              </w:rPr>
            </w:pPr>
            <w:r>
              <w:rPr>
                <w:rFonts w:ascii="Calibri" w:hAnsi="Calibri" w:cs="Calibri"/>
                <w:bCs/>
                <w:szCs w:val="24"/>
              </w:rPr>
              <w:t>If</w:t>
            </w:r>
            <w:r w:rsidR="00B01D26">
              <w:rPr>
                <w:rFonts w:ascii="Calibri" w:hAnsi="Calibri" w:cs="Calibri"/>
                <w:bCs/>
                <w:szCs w:val="24"/>
              </w:rPr>
              <w:t xml:space="preserve"> a parent of the child</w:t>
            </w:r>
            <w:r>
              <w:rPr>
                <w:rFonts w:ascii="Calibri" w:hAnsi="Calibri" w:cs="Calibri"/>
                <w:bCs/>
                <w:szCs w:val="24"/>
              </w:rPr>
              <w:t xml:space="preserve"> presents at the preschool, who is not on the authorised collection list</w:t>
            </w:r>
            <w:r w:rsidR="00B01D26">
              <w:rPr>
                <w:rFonts w:ascii="Calibri" w:hAnsi="Calibri" w:cs="Calibri"/>
                <w:bCs/>
                <w:szCs w:val="24"/>
              </w:rPr>
              <w:t xml:space="preserve">, educators are unable to </w:t>
            </w:r>
            <w:r>
              <w:rPr>
                <w:rFonts w:ascii="Calibri" w:hAnsi="Calibri" w:cs="Calibri"/>
                <w:bCs/>
                <w:szCs w:val="24"/>
              </w:rPr>
              <w:t xml:space="preserve">legally </w:t>
            </w:r>
            <w:r w:rsidR="00B01D26">
              <w:rPr>
                <w:rFonts w:ascii="Calibri" w:hAnsi="Calibri" w:cs="Calibri"/>
                <w:bCs/>
                <w:szCs w:val="24"/>
              </w:rPr>
              <w:t>stop the parent from collecting the child. In this situation, an educator will phone the Nominated Supervisor</w:t>
            </w:r>
            <w:r w:rsidR="00345B41">
              <w:rPr>
                <w:rFonts w:ascii="Calibri" w:hAnsi="Calibri" w:cs="Calibri"/>
                <w:bCs/>
                <w:szCs w:val="24"/>
              </w:rPr>
              <w:t xml:space="preserve"> (the principal)</w:t>
            </w:r>
            <w:r w:rsidR="00B01D26">
              <w:rPr>
                <w:rFonts w:ascii="Calibri" w:hAnsi="Calibri" w:cs="Calibri"/>
                <w:bCs/>
                <w:szCs w:val="24"/>
              </w:rPr>
              <w:t xml:space="preserve"> and ask them to come to the preschool to assist with the situation. </w:t>
            </w:r>
            <w:r>
              <w:rPr>
                <w:rFonts w:ascii="Calibri" w:hAnsi="Calibri" w:cs="Calibri"/>
                <w:bCs/>
                <w:szCs w:val="24"/>
              </w:rPr>
              <w:t>T</w:t>
            </w:r>
            <w:r w:rsidR="00B01D26">
              <w:rPr>
                <w:rFonts w:ascii="Calibri" w:hAnsi="Calibri" w:cs="Calibri"/>
                <w:bCs/>
                <w:szCs w:val="24"/>
              </w:rPr>
              <w:t>he other parent/caregiver</w:t>
            </w:r>
            <w:r>
              <w:rPr>
                <w:rFonts w:ascii="Calibri" w:hAnsi="Calibri" w:cs="Calibri"/>
                <w:bCs/>
                <w:szCs w:val="24"/>
              </w:rPr>
              <w:t xml:space="preserve"> will also be phoned immediately</w:t>
            </w:r>
            <w:r w:rsidR="00B01D26">
              <w:rPr>
                <w:rFonts w:ascii="Calibri" w:hAnsi="Calibri" w:cs="Calibri"/>
                <w:bCs/>
                <w:szCs w:val="24"/>
              </w:rPr>
              <w:t xml:space="preserve"> to inform them of the arrival of the child’s other parent</w:t>
            </w:r>
            <w:r>
              <w:rPr>
                <w:rFonts w:ascii="Calibri" w:hAnsi="Calibri" w:cs="Calibri"/>
                <w:bCs/>
                <w:szCs w:val="24"/>
              </w:rPr>
              <w:t>.</w:t>
            </w:r>
          </w:p>
          <w:p w14:paraId="25A5ACB9" w14:textId="43347C4F" w:rsidR="00A65F92" w:rsidRDefault="00A65F92" w:rsidP="00A65F92">
            <w:pPr>
              <w:pStyle w:val="Body1"/>
              <w:numPr>
                <w:ilvl w:val="0"/>
                <w:numId w:val="24"/>
              </w:numPr>
              <w:rPr>
                <w:rFonts w:ascii="Calibri" w:hAnsi="Calibri" w:cs="Calibri"/>
                <w:bCs/>
                <w:szCs w:val="24"/>
              </w:rPr>
            </w:pPr>
            <w:r>
              <w:rPr>
                <w:rFonts w:ascii="Calibri" w:hAnsi="Calibri" w:cs="Calibri"/>
                <w:bCs/>
                <w:szCs w:val="24"/>
              </w:rPr>
              <w:t xml:space="preserve">All educators, including relief educators are made aware of the procedures in place for all children and are introduced to the child/ren affected by these court or apprehended violence orders. </w:t>
            </w:r>
          </w:p>
          <w:p w14:paraId="79127E6B" w14:textId="0ECF1B82" w:rsidR="006275C9" w:rsidRPr="00851A33" w:rsidRDefault="006275C9" w:rsidP="00851A33">
            <w:pPr>
              <w:spacing w:after="0"/>
              <w:rPr>
                <w:rFonts w:cs="Calibri"/>
                <w:b/>
              </w:rPr>
            </w:pPr>
          </w:p>
        </w:tc>
      </w:tr>
    </w:tbl>
    <w:p w14:paraId="331E8539" w14:textId="70F4470E" w:rsidR="000C32DE" w:rsidRP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13A46" w:rsidRPr="00F13A46" w14:paraId="1E60FBA2" w14:textId="77777777" w:rsidTr="00F13A46">
        <w:trPr>
          <w:tblCellSpacing w:w="15" w:type="dxa"/>
        </w:trPr>
        <w:tc>
          <w:tcPr>
            <w:tcW w:w="0" w:type="auto"/>
            <w:vAlign w:val="center"/>
            <w:hideMark/>
          </w:tcPr>
          <w:p w14:paraId="6BE3D4A0" w14:textId="77777777" w:rsidR="00F13A46" w:rsidRPr="00F13A46" w:rsidRDefault="00F13A46" w:rsidP="00B5541C">
            <w:pPr>
              <w:spacing w:before="100" w:beforeAutospacing="1" w:after="100" w:afterAutospacing="1" w:line="240" w:lineRule="auto"/>
              <w:ind w:left="720"/>
              <w:rPr>
                <w:rFonts w:ascii="Times New Roman" w:eastAsia="Times New Roman" w:hAnsi="Times New Roman" w:cs="Times New Roman"/>
                <w:sz w:val="24"/>
                <w:szCs w:val="24"/>
                <w:lang w:val="en" w:eastAsia="en-AU"/>
              </w:rPr>
            </w:pPr>
          </w:p>
        </w:tc>
      </w:tr>
    </w:tbl>
    <w:p w14:paraId="3594533D" w14:textId="77777777" w:rsidR="00387AEC" w:rsidRPr="00387AEC" w:rsidRDefault="00387AEC">
      <w:pPr>
        <w:rPr>
          <w:lang w:val="en-US"/>
        </w:rPr>
      </w:pPr>
    </w:p>
    <w:sectPr w:rsidR="00387AEC" w:rsidRPr="00387AEC" w:rsidSect="00496CFB">
      <w:pgSz w:w="11906" w:h="16838"/>
      <w:pgMar w:top="107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74C"/>
    <w:multiLevelType w:val="hybridMultilevel"/>
    <w:tmpl w:val="4860D7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C22A62"/>
    <w:multiLevelType w:val="multilevel"/>
    <w:tmpl w:val="652E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03151"/>
    <w:multiLevelType w:val="hybridMultilevel"/>
    <w:tmpl w:val="06AAEE52"/>
    <w:lvl w:ilvl="0" w:tplc="003AE91A">
      <w:start w:val="1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717670"/>
    <w:multiLevelType w:val="multilevel"/>
    <w:tmpl w:val="FA2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B77BA"/>
    <w:multiLevelType w:val="hybridMultilevel"/>
    <w:tmpl w:val="89560F70"/>
    <w:lvl w:ilvl="0" w:tplc="088E77BA">
      <w:start w:val="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E07D39"/>
    <w:multiLevelType w:val="hybridMultilevel"/>
    <w:tmpl w:val="88361E74"/>
    <w:lvl w:ilvl="0" w:tplc="88C6AE58">
      <w:start w:val="1"/>
      <w:numFmt w:val="decimal"/>
      <w:lvlText w:val="%1."/>
      <w:lvlJc w:val="left"/>
      <w:pPr>
        <w:ind w:left="720"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1196B"/>
    <w:multiLevelType w:val="multilevel"/>
    <w:tmpl w:val="87C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17F11"/>
    <w:multiLevelType w:val="hybridMultilevel"/>
    <w:tmpl w:val="28EC40AC"/>
    <w:lvl w:ilvl="0" w:tplc="A3243748">
      <w:start w:val="1"/>
      <w:numFmt w:val="bullet"/>
      <w:lvlText w:val="-"/>
      <w:lvlJc w:val="left"/>
      <w:pPr>
        <w:ind w:left="1800" w:hanging="360"/>
      </w:pPr>
      <w:rPr>
        <w:rFonts w:ascii="Calibri" w:eastAsia="Arial Unicode MS"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DF00AF"/>
    <w:multiLevelType w:val="hybridMultilevel"/>
    <w:tmpl w:val="DD92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B658E2"/>
    <w:multiLevelType w:val="hybridMultilevel"/>
    <w:tmpl w:val="1E62098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06124B7"/>
    <w:multiLevelType w:val="hybridMultilevel"/>
    <w:tmpl w:val="9092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175518"/>
    <w:multiLevelType w:val="multilevel"/>
    <w:tmpl w:val="9C4E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A06EF0"/>
    <w:multiLevelType w:val="hybridMultilevel"/>
    <w:tmpl w:val="878ECC36"/>
    <w:lvl w:ilvl="0" w:tplc="819A79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8005984"/>
    <w:multiLevelType w:val="hybridMultilevel"/>
    <w:tmpl w:val="A978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8"/>
  </w:num>
  <w:num w:numId="5">
    <w:abstractNumId w:val="13"/>
  </w:num>
  <w:num w:numId="6">
    <w:abstractNumId w:val="22"/>
  </w:num>
  <w:num w:numId="7">
    <w:abstractNumId w:val="6"/>
  </w:num>
  <w:num w:numId="8">
    <w:abstractNumId w:val="0"/>
  </w:num>
  <w:num w:numId="9">
    <w:abstractNumId w:val="16"/>
  </w:num>
  <w:num w:numId="10">
    <w:abstractNumId w:val="10"/>
  </w:num>
  <w:num w:numId="11">
    <w:abstractNumId w:val="4"/>
  </w:num>
  <w:num w:numId="12">
    <w:abstractNumId w:val="2"/>
  </w:num>
  <w:num w:numId="13">
    <w:abstractNumId w:val="20"/>
  </w:num>
  <w:num w:numId="14">
    <w:abstractNumId w:val="15"/>
  </w:num>
  <w:num w:numId="15">
    <w:abstractNumId w:val="7"/>
  </w:num>
  <w:num w:numId="16">
    <w:abstractNumId w:val="19"/>
  </w:num>
  <w:num w:numId="17">
    <w:abstractNumId w:val="23"/>
  </w:num>
  <w:num w:numId="18">
    <w:abstractNumId w:val="5"/>
  </w:num>
  <w:num w:numId="19">
    <w:abstractNumId w:val="8"/>
  </w:num>
  <w:num w:numId="20">
    <w:abstractNumId w:val="21"/>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13D01"/>
    <w:rsid w:val="0003449E"/>
    <w:rsid w:val="000879EE"/>
    <w:rsid w:val="000C32DE"/>
    <w:rsid w:val="000C6C44"/>
    <w:rsid w:val="00107F59"/>
    <w:rsid w:val="00111C3F"/>
    <w:rsid w:val="00156CBE"/>
    <w:rsid w:val="0016232C"/>
    <w:rsid w:val="00177C64"/>
    <w:rsid w:val="001A6A21"/>
    <w:rsid w:val="001D3BEE"/>
    <w:rsid w:val="002176A4"/>
    <w:rsid w:val="00242695"/>
    <w:rsid w:val="00260455"/>
    <w:rsid w:val="002F5D50"/>
    <w:rsid w:val="0032476C"/>
    <w:rsid w:val="00345B41"/>
    <w:rsid w:val="00357296"/>
    <w:rsid w:val="00365CD3"/>
    <w:rsid w:val="00386A2D"/>
    <w:rsid w:val="00387AEC"/>
    <w:rsid w:val="003C2478"/>
    <w:rsid w:val="003D212C"/>
    <w:rsid w:val="003F627F"/>
    <w:rsid w:val="0040685C"/>
    <w:rsid w:val="00417C6F"/>
    <w:rsid w:val="004310DF"/>
    <w:rsid w:val="00443181"/>
    <w:rsid w:val="00455FF2"/>
    <w:rsid w:val="00472F30"/>
    <w:rsid w:val="004826E0"/>
    <w:rsid w:val="00483857"/>
    <w:rsid w:val="00496CFB"/>
    <w:rsid w:val="004B2CEB"/>
    <w:rsid w:val="004B6D0A"/>
    <w:rsid w:val="00522F4D"/>
    <w:rsid w:val="005273CE"/>
    <w:rsid w:val="0053258C"/>
    <w:rsid w:val="005523DE"/>
    <w:rsid w:val="005602DB"/>
    <w:rsid w:val="005840EB"/>
    <w:rsid w:val="006178DE"/>
    <w:rsid w:val="006275C9"/>
    <w:rsid w:val="00647E51"/>
    <w:rsid w:val="00651460"/>
    <w:rsid w:val="006931B2"/>
    <w:rsid w:val="006B327C"/>
    <w:rsid w:val="006C123E"/>
    <w:rsid w:val="006F0C78"/>
    <w:rsid w:val="007306D0"/>
    <w:rsid w:val="0073507C"/>
    <w:rsid w:val="00777FBF"/>
    <w:rsid w:val="007E0D62"/>
    <w:rsid w:val="007F0D50"/>
    <w:rsid w:val="008058F0"/>
    <w:rsid w:val="00807348"/>
    <w:rsid w:val="00830C4B"/>
    <w:rsid w:val="00850F58"/>
    <w:rsid w:val="00851A33"/>
    <w:rsid w:val="008542B0"/>
    <w:rsid w:val="008775FC"/>
    <w:rsid w:val="008A132E"/>
    <w:rsid w:val="00904F41"/>
    <w:rsid w:val="00910E38"/>
    <w:rsid w:val="00954AE4"/>
    <w:rsid w:val="00957ECD"/>
    <w:rsid w:val="0099193C"/>
    <w:rsid w:val="009D3337"/>
    <w:rsid w:val="009E0946"/>
    <w:rsid w:val="009F0851"/>
    <w:rsid w:val="00A00D26"/>
    <w:rsid w:val="00A01188"/>
    <w:rsid w:val="00A54B64"/>
    <w:rsid w:val="00A65F92"/>
    <w:rsid w:val="00A67192"/>
    <w:rsid w:val="00A6729E"/>
    <w:rsid w:val="00A67E4B"/>
    <w:rsid w:val="00A73636"/>
    <w:rsid w:val="00AA7C42"/>
    <w:rsid w:val="00AE30BA"/>
    <w:rsid w:val="00B01D26"/>
    <w:rsid w:val="00B20D7C"/>
    <w:rsid w:val="00B5541C"/>
    <w:rsid w:val="00B731A9"/>
    <w:rsid w:val="00B81A2C"/>
    <w:rsid w:val="00C407B9"/>
    <w:rsid w:val="00C844B6"/>
    <w:rsid w:val="00C86F5E"/>
    <w:rsid w:val="00C96E25"/>
    <w:rsid w:val="00CC3307"/>
    <w:rsid w:val="00CC4555"/>
    <w:rsid w:val="00CC46CB"/>
    <w:rsid w:val="00CE26B7"/>
    <w:rsid w:val="00D01D5E"/>
    <w:rsid w:val="00D34CEB"/>
    <w:rsid w:val="00D61D2C"/>
    <w:rsid w:val="00D71205"/>
    <w:rsid w:val="00D81809"/>
    <w:rsid w:val="00DB714F"/>
    <w:rsid w:val="00DD6AA7"/>
    <w:rsid w:val="00DE6E6B"/>
    <w:rsid w:val="00E24213"/>
    <w:rsid w:val="00E35D69"/>
    <w:rsid w:val="00E567DE"/>
    <w:rsid w:val="00E6765F"/>
    <w:rsid w:val="00E82A15"/>
    <w:rsid w:val="00EF4A13"/>
    <w:rsid w:val="00F02FC9"/>
    <w:rsid w:val="00F13A46"/>
    <w:rsid w:val="00F6466F"/>
    <w:rsid w:val="00FD2C9D"/>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aliases w:val="ŠHeading 5"/>
    <w:basedOn w:val="Normal"/>
    <w:next w:val="Normal"/>
    <w:link w:val="Heading5Char"/>
    <w:uiPriority w:val="10"/>
    <w:qFormat/>
    <w:rsid w:val="009D3337"/>
    <w:pPr>
      <w:keepNext/>
      <w:keepLines/>
      <w:tabs>
        <w:tab w:val="left" w:pos="567"/>
        <w:tab w:val="left" w:pos="1134"/>
        <w:tab w:val="left" w:pos="1701"/>
        <w:tab w:val="left" w:pos="2268"/>
        <w:tab w:val="left" w:pos="2835"/>
        <w:tab w:val="left" w:pos="3402"/>
      </w:tabs>
      <w:spacing w:before="240" w:after="240" w:line="276" w:lineRule="auto"/>
      <w:outlineLvl w:val="4"/>
    </w:pPr>
    <w:rPr>
      <w:rFonts w:ascii="Arial" w:eastAsia="SimSu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Š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 w:type="paragraph" w:customStyle="1" w:styleId="Default">
    <w:name w:val="Default"/>
    <w:rsid w:val="00C96E25"/>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C96E25"/>
    <w:pPr>
      <w:spacing w:after="0" w:line="240" w:lineRule="auto"/>
    </w:pPr>
    <w:rPr>
      <w:rFonts w:ascii="Helvetica" w:eastAsia="Arial Unicode MS" w:hAnsi="Helvetica" w:cs="Times New Roman"/>
      <w:color w:val="000000"/>
      <w:sz w:val="24"/>
      <w:szCs w:val="20"/>
      <w:lang w:eastAsia="en-AU"/>
    </w:rPr>
  </w:style>
  <w:style w:type="character" w:styleId="UnresolvedMention">
    <w:name w:val="Unresolved Mention"/>
    <w:basedOn w:val="DefaultParagraphFont"/>
    <w:uiPriority w:val="99"/>
    <w:semiHidden/>
    <w:unhideWhenUsed/>
    <w:rsid w:val="00C96E25"/>
    <w:rPr>
      <w:color w:val="605E5C"/>
      <w:shd w:val="clear" w:color="auto" w:fill="E1DFDD"/>
    </w:rPr>
  </w:style>
  <w:style w:type="character" w:customStyle="1" w:styleId="Heading5Char">
    <w:name w:val="Heading 5 Char"/>
    <w:aliases w:val="ŠHeading 5 Char"/>
    <w:basedOn w:val="DefaultParagraphFont"/>
    <w:link w:val="Heading5"/>
    <w:uiPriority w:val="10"/>
    <w:rsid w:val="009D3337"/>
    <w:rPr>
      <w:rFonts w:ascii="Arial" w:eastAsia="SimSun" w:hAnsi="Arial"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sequella.det.nsw.edu.au/file/a240a1ff-d3e3-4883-92b4-a3591f4e12d7/1/leading-and-operating-department-preschool-guidelines.pdf" TargetMode="External"/><Relationship Id="rId12" Type="http://schemas.openxmlformats.org/officeDocument/2006/relationships/hyperlink" Target="https://education.nsw.gov.au/teaching-and-learning/curriculum/preschool/policies-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s://www.legislation.nsw.gov.au/" TargetMode="External"/><Relationship Id="rId5" Type="http://schemas.openxmlformats.org/officeDocument/2006/relationships/image" Target="media/image1.jpg"/><Relationship Id="rId10" Type="http://schemas.openxmlformats.org/officeDocument/2006/relationships/hyperlink" Target="https://www.legislation.nsw.gov.au/" TargetMode="Externa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Rebecca Dodds</cp:lastModifiedBy>
  <cp:revision>2</cp:revision>
  <cp:lastPrinted>2017-08-24T03:50:00Z</cp:lastPrinted>
  <dcterms:created xsi:type="dcterms:W3CDTF">2020-11-01T00:39:00Z</dcterms:created>
  <dcterms:modified xsi:type="dcterms:W3CDTF">2020-11-01T00:39:00Z</dcterms:modified>
</cp:coreProperties>
</file>