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97A75" w14:textId="17B2BE30" w:rsidR="002F5D50" w:rsidRDefault="008542B0" w:rsidP="002F5D50">
      <w:pPr>
        <w:rPr>
          <w:rFonts w:ascii="Arial" w:eastAsia="Arial" w:hAnsi="Arial" w:cs="Arial"/>
          <w:b/>
          <w:color w:val="0070C0"/>
          <w:sz w:val="30"/>
          <w:szCs w:val="30"/>
        </w:rPr>
      </w:pPr>
      <w:r w:rsidRPr="00A77665">
        <w:rPr>
          <w:rFonts w:ascii="Arial" w:eastAsia="Arial" w:hAnsi="Arial" w:cs="Arial"/>
          <w:b/>
          <w:noProof/>
          <w:color w:val="0070C0"/>
          <w:sz w:val="36"/>
          <w:szCs w:val="36"/>
          <w:lang w:eastAsia="en-AU"/>
        </w:rPr>
        <mc:AlternateContent>
          <mc:Choice Requires="wps">
            <w:drawing>
              <wp:anchor distT="0" distB="0" distL="114300" distR="114300" simplePos="0" relativeHeight="251659264" behindDoc="1" locked="0" layoutInCell="1" allowOverlap="1" wp14:anchorId="164A2228" wp14:editId="31511149">
                <wp:simplePos x="0" y="0"/>
                <wp:positionH relativeFrom="column">
                  <wp:posOffset>5753100</wp:posOffset>
                </wp:positionH>
                <wp:positionV relativeFrom="paragraph">
                  <wp:posOffset>1905</wp:posOffset>
                </wp:positionV>
                <wp:extent cx="1021080" cy="923925"/>
                <wp:effectExtent l="0" t="0" r="7620" b="9525"/>
                <wp:wrapTight wrapText="bothSides">
                  <wp:wrapPolygon edited="0">
                    <wp:start x="0" y="0"/>
                    <wp:lineTo x="0" y="21377"/>
                    <wp:lineTo x="21358" y="21377"/>
                    <wp:lineTo x="2135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923925"/>
                        </a:xfrm>
                        <a:prstGeom prst="rect">
                          <a:avLst/>
                        </a:prstGeom>
                        <a:solidFill>
                          <a:srgbClr val="FFFFFF"/>
                        </a:solidFill>
                        <a:ln w="9525">
                          <a:noFill/>
                          <a:miter lim="800000"/>
                          <a:headEnd/>
                          <a:tailEnd/>
                        </a:ln>
                      </wps:spPr>
                      <wps:txbx>
                        <w:txbxContent>
                          <w:p w14:paraId="4FE8E207" w14:textId="39D5E815" w:rsidR="008542B0" w:rsidRPr="00EF4A13" w:rsidRDefault="00107F59" w:rsidP="008542B0">
                            <w:pPr>
                              <w:jc w:val="center"/>
                              <w:rPr>
                                <w:lang w:val="en-US"/>
                              </w:rPr>
                            </w:pPr>
                            <w:r>
                              <w:rPr>
                                <w:noProof/>
                                <w:lang w:eastAsia="en-AU"/>
                              </w:rPr>
                              <w:drawing>
                                <wp:inline distT="0" distB="0" distL="0" distR="0" wp14:anchorId="5E3545E5" wp14:editId="5057C210">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5">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A2228" id="_x0000_t202" coordsize="21600,21600" o:spt="202" path="m,l,21600r21600,l21600,xe">
                <v:stroke joinstyle="miter"/>
                <v:path gradientshapeok="t" o:connecttype="rect"/>
              </v:shapetype>
              <v:shape id="Text Box 2" o:spid="_x0000_s1026" type="#_x0000_t202" style="position:absolute;margin-left:453pt;margin-top:.15pt;width:80.4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" stroked="f">
                <v:textbox>
                  <w:txbxContent>
                    <w:p w14:paraId="4FE8E207" w14:textId="39D5E815" w:rsidR="008542B0" w:rsidRPr="00EF4A13" w:rsidRDefault="00107F59" w:rsidP="008542B0">
                      <w:pPr>
                        <w:jc w:val="center"/>
                        <w:rPr>
                          <w:lang w:val="en-US"/>
                        </w:rPr>
                      </w:pPr>
                      <w:r>
                        <w:rPr>
                          <w:noProof/>
                          <w:lang w:eastAsia="en-AU"/>
                        </w:rPr>
                        <w:drawing>
                          <wp:inline distT="0" distB="0" distL="0" distR="0" wp14:anchorId="5E3545E5" wp14:editId="5057C210">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5">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v:textbox>
                <w10:wrap type="tight"/>
              </v:shape>
            </w:pict>
          </mc:Fallback>
        </mc:AlternateContent>
      </w:r>
      <w:r w:rsidR="00107F59">
        <w:rPr>
          <w:rFonts w:ascii="Arial" w:eastAsia="Arial" w:hAnsi="Arial" w:cs="Arial"/>
          <w:b/>
          <w:color w:val="0070C0"/>
          <w:sz w:val="30"/>
          <w:szCs w:val="30"/>
        </w:rPr>
        <w:t>Waratah</w:t>
      </w:r>
      <w:r w:rsidR="002F5D50">
        <w:rPr>
          <w:rFonts w:ascii="Arial" w:eastAsia="Arial" w:hAnsi="Arial" w:cs="Arial"/>
          <w:b/>
          <w:color w:val="0070C0"/>
          <w:sz w:val="30"/>
          <w:szCs w:val="30"/>
        </w:rPr>
        <w:t xml:space="preserve"> Public School Preschool</w:t>
      </w:r>
      <w:r w:rsidR="00EF4A13">
        <w:rPr>
          <w:rFonts w:ascii="Arial" w:eastAsia="Arial" w:hAnsi="Arial" w:cs="Arial"/>
          <w:b/>
          <w:color w:val="0070C0"/>
          <w:sz w:val="30"/>
          <w:szCs w:val="30"/>
        </w:rPr>
        <w:t xml:space="preserve"> Procedure</w:t>
      </w:r>
    </w:p>
    <w:p w14:paraId="3863B185" w14:textId="44F6938C" w:rsidR="00B5541C" w:rsidRPr="006275C9" w:rsidRDefault="00C96E25" w:rsidP="006275C9">
      <w:pPr>
        <w:ind w:left="720" w:hanging="720"/>
        <w:rPr>
          <w:rFonts w:ascii="Arial" w:eastAsia="Arial" w:hAnsi="Arial" w:cs="Arial"/>
          <w:b/>
          <w:color w:val="0070C0"/>
          <w:sz w:val="36"/>
          <w:szCs w:val="36"/>
        </w:rPr>
      </w:pPr>
      <w:r>
        <w:rPr>
          <w:rFonts w:ascii="Arial" w:eastAsia="Arial" w:hAnsi="Arial" w:cs="Arial"/>
          <w:b/>
          <w:color w:val="0070C0"/>
          <w:sz w:val="36"/>
          <w:szCs w:val="36"/>
        </w:rPr>
        <w:t>Payment of Fees</w:t>
      </w:r>
    </w:p>
    <w:p w14:paraId="3C0BBDB2" w14:textId="4C7E8DFB" w:rsidR="00CC3307" w:rsidRPr="00CC3307" w:rsidRDefault="00EF4A13" w:rsidP="00CC3307">
      <w:pPr>
        <w:ind w:left="720" w:hanging="720"/>
        <w:rPr>
          <w:rFonts w:ascii="Arial" w:hAnsi="Arial" w:cs="Arial"/>
          <w:b/>
          <w:color w:val="0070C0"/>
          <w:sz w:val="24"/>
          <w:szCs w:val="24"/>
          <w:lang w:val="en-US"/>
        </w:rPr>
      </w:pPr>
      <w:r>
        <w:rPr>
          <w:rFonts w:ascii="Arial" w:hAnsi="Arial" w:cs="Arial"/>
          <w:b/>
          <w:color w:val="0070C0"/>
          <w:sz w:val="24"/>
          <w:szCs w:val="24"/>
          <w:lang w:val="en-US"/>
        </w:rPr>
        <w:t xml:space="preserve">Reviewed: </w:t>
      </w:r>
      <w:r w:rsidR="00B20D7C">
        <w:rPr>
          <w:rFonts w:ascii="Arial" w:hAnsi="Arial" w:cs="Arial"/>
          <w:b/>
          <w:color w:val="0070C0"/>
          <w:sz w:val="24"/>
          <w:szCs w:val="24"/>
          <w:lang w:val="en-US"/>
        </w:rPr>
        <w:t>2</w:t>
      </w:r>
      <w:r w:rsidR="00C96E25">
        <w:rPr>
          <w:rFonts w:ascii="Arial" w:hAnsi="Arial" w:cs="Arial"/>
          <w:b/>
          <w:color w:val="0070C0"/>
          <w:sz w:val="24"/>
          <w:szCs w:val="24"/>
          <w:lang w:val="en-US"/>
        </w:rPr>
        <w:t>7</w:t>
      </w:r>
      <w:r w:rsidR="00B20D7C">
        <w:rPr>
          <w:rFonts w:ascii="Arial" w:hAnsi="Arial" w:cs="Arial"/>
          <w:b/>
          <w:color w:val="0070C0"/>
          <w:sz w:val="24"/>
          <w:szCs w:val="24"/>
          <w:lang w:val="en-US"/>
        </w:rPr>
        <w:t>/</w:t>
      </w:r>
      <w:r w:rsidR="00C96E25">
        <w:rPr>
          <w:rFonts w:ascii="Arial" w:hAnsi="Arial" w:cs="Arial"/>
          <w:b/>
          <w:color w:val="0070C0"/>
          <w:sz w:val="24"/>
          <w:szCs w:val="24"/>
          <w:lang w:val="en-US"/>
        </w:rPr>
        <w:t>9</w:t>
      </w:r>
      <w:r w:rsidR="00B20D7C">
        <w:rPr>
          <w:rFonts w:ascii="Arial" w:hAnsi="Arial" w:cs="Arial"/>
          <w:b/>
          <w:color w:val="0070C0"/>
          <w:sz w:val="24"/>
          <w:szCs w:val="24"/>
          <w:lang w:val="en-US"/>
        </w:rPr>
        <w:t>/20</w:t>
      </w:r>
      <w:r>
        <w:rPr>
          <w:rFonts w:ascii="Arial" w:hAnsi="Arial" w:cs="Arial"/>
          <w:b/>
          <w:color w:val="0070C0"/>
          <w:sz w:val="24"/>
          <w:szCs w:val="24"/>
          <w:lang w:val="en-US"/>
        </w:rPr>
        <w:t xml:space="preserve"> </w:t>
      </w:r>
    </w:p>
    <w:tbl>
      <w:tblPr>
        <w:tblW w:w="109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4110"/>
        <w:gridCol w:w="1418"/>
        <w:gridCol w:w="1701"/>
        <w:gridCol w:w="1417"/>
      </w:tblGrid>
      <w:tr w:rsidR="006275C9" w:rsidRPr="00EF4A13" w14:paraId="1CF3881D" w14:textId="7109CE5B" w:rsidTr="006275C9">
        <w:trPr>
          <w:trHeight w:val="120"/>
        </w:trPr>
        <w:tc>
          <w:tcPr>
            <w:tcW w:w="22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9792E4E" w14:textId="209CDCB0" w:rsidR="006275C9" w:rsidRPr="006275C9" w:rsidRDefault="00242695" w:rsidP="006275C9">
            <w:pPr>
              <w:spacing w:line="240" w:lineRule="auto"/>
              <w:jc w:val="center"/>
              <w:rPr>
                <w:rFonts w:cstheme="minorHAnsi"/>
                <w:b/>
                <w:sz w:val="24"/>
                <w:szCs w:val="24"/>
              </w:rPr>
            </w:pPr>
            <w:r w:rsidRPr="00A941DA">
              <w:rPr>
                <w:rFonts w:eastAsia="Arial" w:cs="Arial"/>
                <w:bCs/>
                <w:lang w:bidi="en-US"/>
              </w:rPr>
              <w:t>Education and Care Services National Law or Regulation</w:t>
            </w:r>
          </w:p>
        </w:tc>
        <w:tc>
          <w:tcPr>
            <w:tcW w:w="411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F23B9B" w14:textId="64F69A96" w:rsidR="006275C9" w:rsidRPr="006275C9" w:rsidRDefault="00242695" w:rsidP="006275C9">
            <w:pPr>
              <w:spacing w:line="240" w:lineRule="auto"/>
              <w:jc w:val="center"/>
              <w:rPr>
                <w:rFonts w:cstheme="minorHAnsi"/>
                <w:b/>
                <w:sz w:val="24"/>
                <w:szCs w:val="24"/>
              </w:rPr>
            </w:pPr>
            <w:r>
              <w:rPr>
                <w:rFonts w:eastAsia="Arial" w:cs="Arial"/>
                <w:bCs/>
                <w:lang w:bidi="en-US"/>
              </w:rPr>
              <w:t>Associated d</w:t>
            </w:r>
            <w:r w:rsidRPr="00A941DA">
              <w:rPr>
                <w:rFonts w:eastAsia="Arial" w:cs="Arial"/>
                <w:bCs/>
                <w:lang w:bidi="en-US"/>
              </w:rPr>
              <w:t>epartment policy, procedure or guideline</w:t>
            </w:r>
          </w:p>
        </w:tc>
        <w:tc>
          <w:tcPr>
            <w:tcW w:w="14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FE577E8" w14:textId="41C637C9" w:rsidR="006275C9" w:rsidRPr="00651460" w:rsidRDefault="004B1BFA" w:rsidP="006275C9">
            <w:pPr>
              <w:spacing w:line="240" w:lineRule="auto"/>
              <w:jc w:val="center"/>
              <w:rPr>
                <w:rFonts w:eastAsia="Arial" w:cstheme="minorHAnsi"/>
                <w:sz w:val="24"/>
                <w:szCs w:val="24"/>
              </w:rPr>
            </w:pPr>
            <w:hyperlink r:id="rId6" w:history="1">
              <w:r w:rsidR="006275C9" w:rsidRPr="00651460">
                <w:rPr>
                  <w:rStyle w:val="Hyperlink"/>
                  <w:rFonts w:eastAsia="Arial" w:cstheme="minorHAnsi"/>
                </w:rPr>
                <w:t>Preschool Guidelines</w:t>
              </w:r>
            </w:hyperlink>
            <w:r w:rsidR="006275C9" w:rsidRPr="00651460">
              <w:rPr>
                <w:rFonts w:eastAsia="Arial" w:cstheme="minorHAnsi"/>
              </w:rPr>
              <w:t xml:space="preserve"> reference</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135EDE0" w14:textId="46A28A5E" w:rsidR="006275C9" w:rsidRPr="00651460" w:rsidRDefault="00242695" w:rsidP="006275C9">
            <w:pPr>
              <w:spacing w:line="240" w:lineRule="auto"/>
              <w:jc w:val="center"/>
              <w:rPr>
                <w:rFonts w:eastAsia="Arial" w:cstheme="minorHAnsi"/>
                <w:sz w:val="24"/>
                <w:szCs w:val="24"/>
              </w:rPr>
            </w:pPr>
            <w:r w:rsidRPr="00651460">
              <w:rPr>
                <w:rFonts w:eastAsia="Arial" w:cs="Arial"/>
                <w:bCs/>
                <w:lang w:bidi="en-US"/>
              </w:rPr>
              <w:t>Associated National Quality Standard</w:t>
            </w:r>
          </w:p>
        </w:tc>
        <w:tc>
          <w:tcPr>
            <w:tcW w:w="141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03E68C7" w14:textId="4B0A4B8C" w:rsidR="006275C9" w:rsidRPr="00651460" w:rsidRDefault="006275C9" w:rsidP="006275C9">
            <w:pPr>
              <w:spacing w:line="240" w:lineRule="auto"/>
              <w:jc w:val="center"/>
              <w:rPr>
                <w:rFonts w:cstheme="minorHAnsi"/>
                <w:sz w:val="24"/>
                <w:szCs w:val="24"/>
              </w:rPr>
            </w:pPr>
            <w:r w:rsidRPr="00651460">
              <w:rPr>
                <w:rFonts w:cstheme="minorHAnsi"/>
              </w:rPr>
              <w:t>School policy or procedure</w:t>
            </w:r>
          </w:p>
        </w:tc>
      </w:tr>
      <w:tr w:rsidR="006275C9" w:rsidRPr="00D61D2C" w14:paraId="0751E14E" w14:textId="15466D8B" w:rsidTr="006275C9">
        <w:trPr>
          <w:trHeight w:val="120"/>
        </w:trPr>
        <w:tc>
          <w:tcPr>
            <w:tcW w:w="2269" w:type="dxa"/>
            <w:shd w:val="clear" w:color="auto" w:fill="FFFFFF"/>
          </w:tcPr>
          <w:p w14:paraId="090D5710" w14:textId="029B76F6" w:rsidR="006275C9" w:rsidRPr="00851A33" w:rsidRDefault="006275C9" w:rsidP="00242695">
            <w:pPr>
              <w:shd w:val="clear" w:color="auto" w:fill="FFFFFF"/>
              <w:spacing w:before="100" w:beforeAutospacing="1" w:after="100" w:afterAutospacing="1" w:line="240" w:lineRule="auto"/>
              <w:jc w:val="center"/>
              <w:rPr>
                <w:rFonts w:cstheme="minorHAnsi"/>
                <w:sz w:val="24"/>
                <w:szCs w:val="24"/>
              </w:rPr>
            </w:pPr>
          </w:p>
        </w:tc>
        <w:tc>
          <w:tcPr>
            <w:tcW w:w="4110" w:type="dxa"/>
            <w:shd w:val="clear" w:color="auto" w:fill="FFFFFF"/>
          </w:tcPr>
          <w:p w14:paraId="5AE6AB36" w14:textId="4131A929" w:rsidR="00C96E25" w:rsidRPr="00851A33" w:rsidRDefault="006275C9" w:rsidP="00C96E25">
            <w:pPr>
              <w:shd w:val="clear" w:color="auto" w:fill="FFFFFF"/>
              <w:spacing w:before="100" w:beforeAutospacing="1" w:after="100" w:afterAutospacing="1" w:line="240" w:lineRule="auto"/>
              <w:rPr>
                <w:rFonts w:eastAsia="Times New Roman" w:cstheme="minorHAnsi"/>
                <w:color w:val="0070C0"/>
                <w:spacing w:val="2"/>
                <w:sz w:val="24"/>
                <w:szCs w:val="24"/>
                <w:lang w:eastAsia="en-AU"/>
              </w:rPr>
            </w:pPr>
            <w:r w:rsidRPr="00851A33">
              <w:rPr>
                <w:rFonts w:eastAsia="Times New Roman" w:cstheme="minorHAnsi"/>
                <w:color w:val="000000"/>
                <w:spacing w:val="2"/>
                <w:sz w:val="24"/>
                <w:szCs w:val="24"/>
                <w:lang w:eastAsia="en-AU"/>
              </w:rPr>
              <w:t xml:space="preserve">The following department policies and relevant documents can be accessed from the </w:t>
            </w:r>
            <w:r w:rsidRPr="00851A33">
              <w:rPr>
                <w:rFonts w:eastAsia="Times New Roman" w:cstheme="minorHAnsi"/>
                <w:color w:val="000000" w:themeColor="text1"/>
                <w:spacing w:val="2"/>
                <w:sz w:val="24"/>
                <w:szCs w:val="24"/>
                <w:lang w:eastAsia="en-AU"/>
              </w:rPr>
              <w:t xml:space="preserve">preschool section of the department’s </w:t>
            </w:r>
            <w:hyperlink r:id="rId7" w:history="1">
              <w:r w:rsidRPr="00851A33">
                <w:rPr>
                  <w:rStyle w:val="Hyperlink"/>
                  <w:rFonts w:eastAsia="Times New Roman" w:cstheme="minorHAnsi"/>
                  <w:spacing w:val="2"/>
                  <w:sz w:val="24"/>
                  <w:szCs w:val="24"/>
                  <w:lang w:eastAsia="en-AU"/>
                </w:rPr>
                <w:t>website</w:t>
              </w:r>
            </w:hyperlink>
            <w:r w:rsidRPr="00851A33">
              <w:rPr>
                <w:rFonts w:eastAsia="Times New Roman" w:cstheme="minorHAnsi"/>
                <w:color w:val="000000" w:themeColor="text1"/>
                <w:spacing w:val="2"/>
                <w:sz w:val="24"/>
                <w:szCs w:val="24"/>
                <w:lang w:eastAsia="en-AU"/>
              </w:rPr>
              <w:t>;</w:t>
            </w:r>
          </w:p>
          <w:p w14:paraId="6EB645DF" w14:textId="771662BD" w:rsidR="00C96E25" w:rsidRPr="00851A33" w:rsidRDefault="00C96E25" w:rsidP="004B2CEB">
            <w:pPr>
              <w:pStyle w:val="Default"/>
              <w:numPr>
                <w:ilvl w:val="0"/>
                <w:numId w:val="18"/>
              </w:numPr>
              <w:rPr>
                <w:rFonts w:asciiTheme="minorHAnsi" w:hAnsiTheme="minorHAnsi" w:cstheme="minorHAnsi"/>
              </w:rPr>
            </w:pPr>
            <w:hyperlink r:id="rId8" w:history="1">
              <w:r w:rsidRPr="00851A33">
                <w:rPr>
                  <w:rStyle w:val="Hyperlink"/>
                  <w:rFonts w:asciiTheme="minorHAnsi" w:hAnsiTheme="minorHAnsi" w:cstheme="minorHAnsi"/>
                </w:rPr>
                <w:t>Preschool Class Fees in Government Schools</w:t>
              </w:r>
            </w:hyperlink>
            <w:r w:rsidRPr="00851A33">
              <w:rPr>
                <w:rFonts w:asciiTheme="minorHAnsi" w:hAnsiTheme="minorHAnsi" w:cstheme="minorHAnsi"/>
              </w:rPr>
              <w:t xml:space="preserve"> </w:t>
            </w:r>
          </w:p>
          <w:p w14:paraId="7791D95F" w14:textId="5CB7E9B0" w:rsidR="00C96E25" w:rsidRPr="00851A33" w:rsidRDefault="00C96E25" w:rsidP="004B2CEB">
            <w:pPr>
              <w:pStyle w:val="Default"/>
              <w:numPr>
                <w:ilvl w:val="0"/>
                <w:numId w:val="18"/>
              </w:numPr>
              <w:rPr>
                <w:rFonts w:asciiTheme="minorHAnsi" w:hAnsiTheme="minorHAnsi" w:cstheme="minorHAnsi"/>
              </w:rPr>
            </w:pPr>
            <w:r w:rsidRPr="00851A33">
              <w:rPr>
                <w:rFonts w:asciiTheme="minorHAnsi" w:hAnsiTheme="minorHAnsi" w:cstheme="minorHAnsi"/>
              </w:rPr>
              <w:t xml:space="preserve">Fee Schedule </w:t>
            </w:r>
          </w:p>
          <w:p w14:paraId="3E7918CC" w14:textId="67F3220C" w:rsidR="006275C9" w:rsidRPr="00851A33" w:rsidRDefault="004B2CEB" w:rsidP="00851A33">
            <w:pPr>
              <w:pStyle w:val="ListParagraph"/>
              <w:numPr>
                <w:ilvl w:val="0"/>
                <w:numId w:val="18"/>
              </w:numPr>
              <w:spacing w:before="100" w:beforeAutospacing="1" w:after="100" w:afterAutospacing="1" w:line="240" w:lineRule="auto"/>
              <w:rPr>
                <w:rFonts w:eastAsia="Times New Roman" w:cstheme="minorHAnsi"/>
                <w:sz w:val="24"/>
                <w:szCs w:val="24"/>
                <w:lang w:val="en" w:eastAsia="en-AU"/>
              </w:rPr>
            </w:pPr>
            <w:r w:rsidRPr="00851A33">
              <w:rPr>
                <w:rFonts w:eastAsia="Times New Roman" w:cstheme="minorHAnsi"/>
                <w:sz w:val="24"/>
                <w:szCs w:val="24"/>
                <w:lang w:val="en" w:eastAsia="en-AU"/>
              </w:rPr>
              <w:t xml:space="preserve">Finance in school’s handbook (FISH) </w:t>
            </w:r>
            <w:r w:rsidR="00851A33">
              <w:rPr>
                <w:rFonts w:eastAsia="Times New Roman" w:cstheme="minorHAnsi"/>
                <w:sz w:val="24"/>
                <w:szCs w:val="24"/>
                <w:lang w:val="en" w:eastAsia="en-AU"/>
              </w:rPr>
              <w:t>– 13.2.4</w:t>
            </w:r>
          </w:p>
        </w:tc>
        <w:tc>
          <w:tcPr>
            <w:tcW w:w="1418" w:type="dxa"/>
            <w:shd w:val="clear" w:color="auto" w:fill="FFFFFF"/>
          </w:tcPr>
          <w:p w14:paraId="46B92D8A" w14:textId="77777777" w:rsidR="006275C9" w:rsidRPr="00851A33" w:rsidRDefault="006275C9" w:rsidP="000F2BCD">
            <w:pPr>
              <w:rPr>
                <w:rFonts w:cstheme="minorHAnsi"/>
                <w:sz w:val="24"/>
                <w:szCs w:val="24"/>
              </w:rPr>
            </w:pPr>
          </w:p>
          <w:p w14:paraId="4914E265" w14:textId="17C9A27B" w:rsidR="006275C9" w:rsidRPr="00851A33" w:rsidRDefault="006275C9" w:rsidP="000F2BCD">
            <w:pPr>
              <w:rPr>
                <w:rFonts w:cstheme="minorHAnsi"/>
                <w:sz w:val="24"/>
                <w:szCs w:val="24"/>
              </w:rPr>
            </w:pPr>
            <w:r w:rsidRPr="00851A33">
              <w:rPr>
                <w:rFonts w:cstheme="minorHAnsi"/>
                <w:sz w:val="24"/>
                <w:szCs w:val="24"/>
              </w:rPr>
              <w:t xml:space="preserve"> </w:t>
            </w:r>
            <w:r w:rsidR="00483857">
              <w:rPr>
                <w:rFonts w:cstheme="minorHAnsi"/>
                <w:sz w:val="24"/>
                <w:szCs w:val="24"/>
              </w:rPr>
              <w:t>p. 96-97</w:t>
            </w:r>
          </w:p>
        </w:tc>
        <w:tc>
          <w:tcPr>
            <w:tcW w:w="1701" w:type="dxa"/>
            <w:shd w:val="clear" w:color="auto" w:fill="FFFFFF"/>
          </w:tcPr>
          <w:p w14:paraId="11368446" w14:textId="77777777" w:rsidR="006275C9" w:rsidRPr="00851A33" w:rsidRDefault="006275C9" w:rsidP="006275C9">
            <w:pPr>
              <w:spacing w:line="240" w:lineRule="auto"/>
              <w:jc w:val="center"/>
              <w:rPr>
                <w:rFonts w:cstheme="minorHAnsi"/>
                <w:sz w:val="24"/>
                <w:szCs w:val="24"/>
              </w:rPr>
            </w:pPr>
          </w:p>
          <w:p w14:paraId="413E1FAC" w14:textId="293137B3" w:rsidR="00C96E25" w:rsidRPr="00851A33" w:rsidRDefault="00C96E25" w:rsidP="006275C9">
            <w:pPr>
              <w:spacing w:line="240" w:lineRule="auto"/>
              <w:jc w:val="center"/>
              <w:rPr>
                <w:rFonts w:cstheme="minorHAnsi"/>
                <w:sz w:val="24"/>
                <w:szCs w:val="24"/>
              </w:rPr>
            </w:pPr>
            <w:r w:rsidRPr="00851A33">
              <w:rPr>
                <w:rFonts w:cstheme="minorHAnsi"/>
                <w:sz w:val="24"/>
                <w:szCs w:val="24"/>
              </w:rPr>
              <w:t>7.1</w:t>
            </w:r>
          </w:p>
        </w:tc>
        <w:tc>
          <w:tcPr>
            <w:tcW w:w="1417" w:type="dxa"/>
            <w:shd w:val="clear" w:color="auto" w:fill="FFFFFF"/>
          </w:tcPr>
          <w:p w14:paraId="56DD35D2" w14:textId="77777777" w:rsidR="006275C9" w:rsidRPr="00851A33" w:rsidRDefault="006275C9" w:rsidP="00CC3307">
            <w:pPr>
              <w:spacing w:line="240" w:lineRule="auto"/>
              <w:rPr>
                <w:rFonts w:cstheme="minorHAnsi"/>
                <w:sz w:val="24"/>
                <w:szCs w:val="24"/>
              </w:rPr>
            </w:pPr>
          </w:p>
          <w:p w14:paraId="49E51967" w14:textId="6D1E46FA" w:rsidR="00C96E25" w:rsidRPr="00851A33" w:rsidRDefault="00C96E25" w:rsidP="00CC3307">
            <w:pPr>
              <w:spacing w:line="240" w:lineRule="auto"/>
              <w:rPr>
                <w:rFonts w:cstheme="minorHAnsi"/>
                <w:sz w:val="24"/>
                <w:szCs w:val="24"/>
              </w:rPr>
            </w:pPr>
            <w:r w:rsidRPr="00851A33">
              <w:rPr>
                <w:rFonts w:cstheme="minorHAnsi"/>
                <w:sz w:val="24"/>
                <w:szCs w:val="24"/>
              </w:rPr>
              <w:t>P</w:t>
            </w:r>
            <w:r w:rsidR="00851A33">
              <w:rPr>
                <w:rFonts w:cstheme="minorHAnsi"/>
                <w:sz w:val="24"/>
                <w:szCs w:val="24"/>
              </w:rPr>
              <w:t>arent Online P</w:t>
            </w:r>
            <w:r w:rsidRPr="00851A33">
              <w:rPr>
                <w:rFonts w:cstheme="minorHAnsi"/>
                <w:sz w:val="24"/>
                <w:szCs w:val="24"/>
              </w:rPr>
              <w:t>ayment</w:t>
            </w:r>
            <w:r w:rsidR="00483857">
              <w:rPr>
                <w:rFonts w:cstheme="minorHAnsi"/>
                <w:sz w:val="24"/>
                <w:szCs w:val="24"/>
              </w:rPr>
              <w:t>s</w:t>
            </w:r>
          </w:p>
        </w:tc>
      </w:tr>
      <w:tr w:rsidR="006275C9" w:rsidRPr="00387AEC" w14:paraId="5CBC0EE5" w14:textId="750C6F30" w:rsidTr="00AB500D">
        <w:trPr>
          <w:trHeight w:val="120"/>
        </w:trPr>
        <w:tc>
          <w:tcPr>
            <w:tcW w:w="10915" w:type="dxa"/>
            <w:gridSpan w:val="5"/>
            <w:shd w:val="clear" w:color="auto" w:fill="FFFFFF"/>
          </w:tcPr>
          <w:p w14:paraId="710B7E6B" w14:textId="6C95DCCD" w:rsidR="00C96E25" w:rsidRPr="00851A33" w:rsidRDefault="00C96E25" w:rsidP="00C96E25">
            <w:pPr>
              <w:pStyle w:val="Body1"/>
              <w:rPr>
                <w:rFonts w:ascii="Calibri" w:hAnsi="Calibri" w:cs="Calibri"/>
                <w:bCs/>
                <w:szCs w:val="24"/>
              </w:rPr>
            </w:pPr>
            <w:r w:rsidRPr="00851A33">
              <w:rPr>
                <w:rFonts w:ascii="Calibri" w:hAnsi="Calibri" w:cs="Calibri"/>
                <w:szCs w:val="24"/>
              </w:rPr>
              <w:t xml:space="preserve">The preschool fee schedule is based on the </w:t>
            </w:r>
            <w:hyperlink r:id="rId9" w:history="1">
              <w:r w:rsidRPr="00851A33">
                <w:rPr>
                  <w:rStyle w:val="Hyperlink"/>
                  <w:rFonts w:ascii="Calibri" w:hAnsi="Calibri" w:cs="Calibri"/>
                  <w:szCs w:val="24"/>
                </w:rPr>
                <w:t>Preschool Class Fees in G</w:t>
              </w:r>
              <w:r w:rsidRPr="00851A33">
                <w:rPr>
                  <w:rStyle w:val="Hyperlink"/>
                  <w:rFonts w:ascii="Calibri" w:hAnsi="Calibri" w:cs="Calibri"/>
                  <w:szCs w:val="24"/>
                </w:rPr>
                <w:t>o</w:t>
              </w:r>
              <w:r w:rsidRPr="00851A33">
                <w:rPr>
                  <w:rStyle w:val="Hyperlink"/>
                  <w:rFonts w:ascii="Calibri" w:hAnsi="Calibri" w:cs="Calibri"/>
                  <w:szCs w:val="24"/>
                </w:rPr>
                <w:t>vernment Schools policy</w:t>
              </w:r>
            </w:hyperlink>
            <w:r w:rsidRPr="00851A33">
              <w:rPr>
                <w:rFonts w:ascii="Calibri" w:hAnsi="Calibri" w:cs="Calibri"/>
                <w:color w:val="0000FF"/>
                <w:szCs w:val="24"/>
              </w:rPr>
              <w:t xml:space="preserve"> </w:t>
            </w:r>
            <w:r w:rsidRPr="00851A33">
              <w:rPr>
                <w:rFonts w:ascii="Calibri" w:hAnsi="Calibri" w:cs="Calibri"/>
                <w:szCs w:val="24"/>
              </w:rPr>
              <w:t xml:space="preserve">and outlines the daily fees that schools should charge for attendance at the preschool. Fees are set </w:t>
            </w:r>
            <w:r w:rsidRPr="00851A33">
              <w:rPr>
                <w:rFonts w:ascii="Calibri" w:hAnsi="Calibri" w:cs="Calibri"/>
                <w:color w:val="041E42"/>
                <w:spacing w:val="2"/>
                <w:szCs w:val="24"/>
                <w:shd w:val="clear" w:color="auto" w:fill="FFFFFF"/>
              </w:rPr>
              <w:t>with reference to the relative Index of Community Socio-Educational Advantage (ICSEA) value of the school. For Waratah Public School, the ICSEA value is currently 9</w:t>
            </w:r>
            <w:r w:rsidRPr="00851A33">
              <w:rPr>
                <w:rFonts w:ascii="Calibri" w:hAnsi="Calibri" w:cs="Calibri"/>
                <w:color w:val="041E42"/>
                <w:spacing w:val="2"/>
                <w:szCs w:val="24"/>
                <w:shd w:val="clear" w:color="auto" w:fill="FFFFFF"/>
              </w:rPr>
              <w:t>52</w:t>
            </w:r>
            <w:r w:rsidRPr="00851A33">
              <w:rPr>
                <w:rFonts w:ascii="Calibri" w:hAnsi="Calibri" w:cs="Calibri"/>
                <w:color w:val="041E42"/>
                <w:spacing w:val="2"/>
                <w:szCs w:val="24"/>
                <w:shd w:val="clear" w:color="auto" w:fill="FFFFFF"/>
              </w:rPr>
              <w:t xml:space="preserve"> (</w:t>
            </w:r>
            <w:r w:rsidRPr="00851A33">
              <w:rPr>
                <w:rFonts w:ascii="Calibri" w:hAnsi="Calibri" w:cs="Calibri"/>
                <w:i/>
                <w:iCs/>
                <w:color w:val="041E42"/>
                <w:spacing w:val="2"/>
                <w:szCs w:val="24"/>
                <w:shd w:val="clear" w:color="auto" w:fill="FFFFFF"/>
              </w:rPr>
              <w:t>Source</w:t>
            </w:r>
            <w:r w:rsidRPr="00851A33">
              <w:rPr>
                <w:rFonts w:ascii="Calibri" w:hAnsi="Calibri" w:cs="Calibri"/>
                <w:color w:val="041E42"/>
                <w:spacing w:val="2"/>
                <w:szCs w:val="24"/>
                <w:shd w:val="clear" w:color="auto" w:fill="FFFFFF"/>
              </w:rPr>
              <w:t xml:space="preserve">: </w:t>
            </w:r>
            <w:hyperlink r:id="rId10" w:history="1">
              <w:r w:rsidRPr="00851A33">
                <w:rPr>
                  <w:rStyle w:val="Hyperlink"/>
                  <w:rFonts w:ascii="Calibri" w:hAnsi="Calibri" w:cs="Calibri"/>
                  <w:spacing w:val="2"/>
                  <w:szCs w:val="24"/>
                  <w:shd w:val="clear" w:color="auto" w:fill="FFFFFF"/>
                </w:rPr>
                <w:t xml:space="preserve">My </w:t>
              </w:r>
              <w:r w:rsidRPr="00851A33">
                <w:rPr>
                  <w:rStyle w:val="Hyperlink"/>
                  <w:rFonts w:ascii="Calibri" w:hAnsi="Calibri" w:cs="Calibri"/>
                  <w:spacing w:val="2"/>
                  <w:szCs w:val="24"/>
                  <w:shd w:val="clear" w:color="auto" w:fill="FFFFFF"/>
                </w:rPr>
                <w:t>S</w:t>
              </w:r>
              <w:r w:rsidRPr="00851A33">
                <w:rPr>
                  <w:rStyle w:val="Hyperlink"/>
                  <w:rFonts w:ascii="Calibri" w:hAnsi="Calibri" w:cs="Calibri"/>
                  <w:spacing w:val="2"/>
                  <w:szCs w:val="24"/>
                  <w:shd w:val="clear" w:color="auto" w:fill="FFFFFF"/>
                </w:rPr>
                <w:t>chool Website</w:t>
              </w:r>
            </w:hyperlink>
            <w:r w:rsidRPr="00851A33">
              <w:rPr>
                <w:rFonts w:ascii="Calibri" w:hAnsi="Calibri" w:cs="Calibri"/>
                <w:color w:val="041E42"/>
                <w:spacing w:val="2"/>
                <w:szCs w:val="24"/>
                <w:shd w:val="clear" w:color="auto" w:fill="FFFFFF"/>
              </w:rPr>
              <w:t>).</w:t>
            </w:r>
          </w:p>
          <w:p w14:paraId="2CD365F3" w14:textId="44FAF74A" w:rsidR="00C96E25" w:rsidRPr="00851A33" w:rsidRDefault="00C96E25" w:rsidP="00651460">
            <w:pPr>
              <w:rPr>
                <w:sz w:val="24"/>
                <w:szCs w:val="24"/>
              </w:rPr>
            </w:pPr>
          </w:p>
          <w:p w14:paraId="010C15FC" w14:textId="77777777" w:rsidR="00C96E25" w:rsidRPr="00851A33" w:rsidRDefault="00C96E25" w:rsidP="00C96E25">
            <w:pPr>
              <w:pStyle w:val="Body1"/>
              <w:numPr>
                <w:ilvl w:val="0"/>
                <w:numId w:val="19"/>
              </w:numPr>
              <w:rPr>
                <w:rFonts w:ascii="Calibri" w:hAnsi="Calibri" w:cs="Calibri"/>
                <w:szCs w:val="24"/>
              </w:rPr>
            </w:pPr>
            <w:r w:rsidRPr="00851A33">
              <w:rPr>
                <w:rFonts w:ascii="Calibri" w:hAnsi="Calibri" w:cs="Calibri"/>
                <w:szCs w:val="24"/>
              </w:rPr>
              <w:t>The daily fee for Waratah Public School Preschool is set at $20 per child, per day. For low income earners holding a current Commonwealth Health Care Card and/or Aboriginal and Torres Strait Islander children, the fee is $10 per day.</w:t>
            </w:r>
          </w:p>
          <w:p w14:paraId="47B40BBC" w14:textId="77777777" w:rsidR="00C96E25" w:rsidRPr="00851A33" w:rsidRDefault="00C96E25" w:rsidP="00C96E25">
            <w:pPr>
              <w:pStyle w:val="Body1"/>
              <w:ind w:left="720"/>
              <w:rPr>
                <w:rFonts w:ascii="Calibri" w:hAnsi="Calibri" w:cs="Calibri"/>
                <w:szCs w:val="24"/>
              </w:rPr>
            </w:pPr>
          </w:p>
          <w:p w14:paraId="6133050F" w14:textId="77777777" w:rsidR="00C96E25" w:rsidRPr="00851A33" w:rsidRDefault="00C96E25" w:rsidP="00C96E25">
            <w:pPr>
              <w:pStyle w:val="Body1"/>
              <w:numPr>
                <w:ilvl w:val="0"/>
                <w:numId w:val="19"/>
              </w:numPr>
              <w:rPr>
                <w:rFonts w:ascii="Calibri" w:hAnsi="Calibri" w:cs="Calibri"/>
                <w:szCs w:val="24"/>
              </w:rPr>
            </w:pPr>
            <w:r w:rsidRPr="00851A33">
              <w:rPr>
                <w:rFonts w:ascii="Calibri" w:hAnsi="Calibri" w:cs="Calibri"/>
                <w:szCs w:val="24"/>
              </w:rPr>
              <w:t xml:space="preserve">For a preschool child covered by a current health care card on the first day of each term the school should invoice the whole term at the health care card rate, irrespective of the expiry date. The new card should be viewed before the start of the next term.   </w:t>
            </w:r>
          </w:p>
          <w:p w14:paraId="7D560CFA" w14:textId="77777777" w:rsidR="00C96E25" w:rsidRPr="00851A33" w:rsidRDefault="00C96E25" w:rsidP="00C96E25">
            <w:pPr>
              <w:pStyle w:val="Body1"/>
              <w:rPr>
                <w:rFonts w:ascii="Calibri" w:hAnsi="Calibri" w:cs="Calibri"/>
                <w:szCs w:val="24"/>
              </w:rPr>
            </w:pPr>
          </w:p>
          <w:p w14:paraId="693CCEAD" w14:textId="41A3F19F" w:rsidR="00C96E25" w:rsidRPr="00851A33" w:rsidRDefault="00C96E25" w:rsidP="00C96E25">
            <w:pPr>
              <w:pStyle w:val="Body1"/>
              <w:numPr>
                <w:ilvl w:val="0"/>
                <w:numId w:val="19"/>
              </w:numPr>
              <w:rPr>
                <w:rFonts w:ascii="Calibri" w:hAnsi="Calibri" w:cs="Calibri"/>
                <w:szCs w:val="24"/>
              </w:rPr>
            </w:pPr>
            <w:r w:rsidRPr="00851A33">
              <w:rPr>
                <w:rFonts w:ascii="Calibri" w:hAnsi="Calibri" w:cs="Calibri"/>
                <w:szCs w:val="24"/>
              </w:rPr>
              <w:t xml:space="preserve">Families receive their invoice from the preschool at the beginning of each term, with follow up invoices provided in Week 5 and Week 8, as reminders. </w:t>
            </w:r>
          </w:p>
          <w:p w14:paraId="486B72E8" w14:textId="77777777" w:rsidR="00851A33" w:rsidRPr="00851A33" w:rsidRDefault="00851A33" w:rsidP="00851A33">
            <w:pPr>
              <w:pStyle w:val="ListParagraph"/>
              <w:rPr>
                <w:rFonts w:ascii="Calibri" w:hAnsi="Calibri" w:cs="Calibri"/>
                <w:sz w:val="24"/>
                <w:szCs w:val="24"/>
              </w:rPr>
            </w:pPr>
          </w:p>
          <w:p w14:paraId="49792ACA" w14:textId="29E08F6F" w:rsidR="00851A33" w:rsidRPr="00851A33" w:rsidRDefault="00851A33" w:rsidP="00C96E25">
            <w:pPr>
              <w:pStyle w:val="Body1"/>
              <w:numPr>
                <w:ilvl w:val="0"/>
                <w:numId w:val="19"/>
              </w:numPr>
              <w:rPr>
                <w:rFonts w:asciiTheme="minorHAnsi" w:hAnsiTheme="minorHAnsi" w:cstheme="minorHAnsi"/>
                <w:szCs w:val="24"/>
              </w:rPr>
            </w:pPr>
            <w:r w:rsidRPr="00851A33">
              <w:rPr>
                <w:rFonts w:asciiTheme="minorHAnsi" w:hAnsiTheme="minorHAnsi" w:cstheme="minorHAnsi"/>
                <w:szCs w:val="24"/>
              </w:rPr>
              <w:t>Where a Health Care Card expiry falls during the ter</w:t>
            </w:r>
            <w:r w:rsidRPr="00851A33">
              <w:rPr>
                <w:rFonts w:asciiTheme="minorHAnsi" w:hAnsiTheme="minorHAnsi" w:cstheme="minorHAnsi"/>
                <w:szCs w:val="24"/>
              </w:rPr>
              <w:t xml:space="preserve">m, the new card must be </w:t>
            </w:r>
            <w:r w:rsidRPr="00851A33">
              <w:rPr>
                <w:rFonts w:asciiTheme="minorHAnsi" w:hAnsiTheme="minorHAnsi" w:cstheme="minorHAnsi"/>
                <w:szCs w:val="24"/>
              </w:rPr>
              <w:t>presented to the administration office</w:t>
            </w:r>
            <w:r w:rsidRPr="00851A33">
              <w:rPr>
                <w:rFonts w:asciiTheme="minorHAnsi" w:hAnsiTheme="minorHAnsi" w:cstheme="minorHAnsi"/>
                <w:szCs w:val="24"/>
              </w:rPr>
              <w:t xml:space="preserve"> before the start of the new term, otherwise the full </w:t>
            </w:r>
            <w:r w:rsidRPr="00851A33">
              <w:rPr>
                <w:rFonts w:asciiTheme="minorHAnsi" w:hAnsiTheme="minorHAnsi" w:cstheme="minorHAnsi"/>
                <w:szCs w:val="24"/>
              </w:rPr>
              <w:t xml:space="preserve">fee </w:t>
            </w:r>
            <w:r w:rsidRPr="00851A33">
              <w:rPr>
                <w:rFonts w:asciiTheme="minorHAnsi" w:hAnsiTheme="minorHAnsi" w:cstheme="minorHAnsi"/>
                <w:szCs w:val="24"/>
              </w:rPr>
              <w:t>rate will be charged for the new term.</w:t>
            </w:r>
          </w:p>
          <w:p w14:paraId="5CD1A66D" w14:textId="77777777" w:rsidR="00C96E25" w:rsidRPr="00851A33" w:rsidRDefault="00C96E25" w:rsidP="00C96E25">
            <w:pPr>
              <w:pStyle w:val="Body1"/>
              <w:rPr>
                <w:rFonts w:ascii="Calibri" w:hAnsi="Calibri" w:cs="Calibri"/>
                <w:szCs w:val="24"/>
              </w:rPr>
            </w:pPr>
          </w:p>
          <w:p w14:paraId="71EA8CCB" w14:textId="77777777" w:rsidR="00C96E25" w:rsidRPr="00851A33" w:rsidRDefault="00C96E25" w:rsidP="00C96E25">
            <w:pPr>
              <w:pStyle w:val="Body1"/>
              <w:numPr>
                <w:ilvl w:val="0"/>
                <w:numId w:val="19"/>
              </w:numPr>
              <w:rPr>
                <w:rFonts w:ascii="Calibri" w:hAnsi="Calibri" w:cs="Calibri"/>
                <w:szCs w:val="24"/>
              </w:rPr>
            </w:pPr>
            <w:r w:rsidRPr="00851A33">
              <w:rPr>
                <w:rFonts w:ascii="Calibri" w:hAnsi="Calibri" w:cs="Calibri"/>
                <w:szCs w:val="24"/>
              </w:rPr>
              <w:t>A voluntary fee of $10 per term is charged to each family which is included on the invoice. This fee covers the purchase of additional resources that support the educational program and children’s interests.</w:t>
            </w:r>
          </w:p>
          <w:p w14:paraId="4E2848D9" w14:textId="77777777" w:rsidR="00C96E25" w:rsidRPr="00851A33" w:rsidRDefault="00C96E25" w:rsidP="00C96E25">
            <w:pPr>
              <w:pStyle w:val="Body1"/>
              <w:rPr>
                <w:rFonts w:ascii="Calibri" w:hAnsi="Calibri" w:cs="Calibri"/>
                <w:szCs w:val="24"/>
              </w:rPr>
            </w:pPr>
          </w:p>
          <w:p w14:paraId="7A7F8578" w14:textId="773CE513" w:rsidR="00C96E25" w:rsidRPr="00851A33" w:rsidRDefault="00C96E25" w:rsidP="00C96E25">
            <w:pPr>
              <w:pStyle w:val="Body1"/>
              <w:numPr>
                <w:ilvl w:val="0"/>
                <w:numId w:val="19"/>
              </w:numPr>
              <w:rPr>
                <w:rFonts w:ascii="Calibri" w:hAnsi="Calibri" w:cs="Calibri"/>
                <w:szCs w:val="24"/>
              </w:rPr>
            </w:pPr>
            <w:r w:rsidRPr="00851A33">
              <w:rPr>
                <w:rFonts w:ascii="Calibri" w:hAnsi="Calibri" w:cs="Calibri"/>
                <w:szCs w:val="24"/>
              </w:rPr>
              <w:t xml:space="preserve">If a family/parent/caregiver is </w:t>
            </w:r>
            <w:r w:rsidR="00851A33">
              <w:rPr>
                <w:rFonts w:ascii="Calibri" w:hAnsi="Calibri" w:cs="Calibri"/>
                <w:szCs w:val="24"/>
              </w:rPr>
              <w:t xml:space="preserve">experiencing financial hardship, </w:t>
            </w:r>
            <w:r w:rsidRPr="00851A33">
              <w:rPr>
                <w:rFonts w:ascii="Calibri" w:hAnsi="Calibri" w:cs="Calibri"/>
                <w:szCs w:val="24"/>
              </w:rPr>
              <w:t>they are encouraged to discuss this with their child’s teacher and complete a fee relief or exemption application. The application is considered by the school principal, where a partial or full-fee relief may be granted for a short period or the whole year, dependant on circumstances.</w:t>
            </w:r>
          </w:p>
          <w:p w14:paraId="0930483B" w14:textId="77777777" w:rsidR="00C96E25" w:rsidRPr="00851A33" w:rsidRDefault="00C96E25" w:rsidP="00C96E25">
            <w:pPr>
              <w:pStyle w:val="Body1"/>
              <w:rPr>
                <w:rFonts w:ascii="Calibri" w:hAnsi="Calibri" w:cs="Calibri"/>
                <w:szCs w:val="24"/>
              </w:rPr>
            </w:pPr>
          </w:p>
          <w:p w14:paraId="23049B50" w14:textId="3A5F0DD0" w:rsidR="00C96E25" w:rsidRDefault="00C96E25" w:rsidP="00651460">
            <w:pPr>
              <w:pStyle w:val="Body1"/>
              <w:numPr>
                <w:ilvl w:val="0"/>
                <w:numId w:val="19"/>
              </w:numPr>
              <w:rPr>
                <w:rFonts w:ascii="Calibri" w:hAnsi="Calibri" w:cs="Calibri"/>
                <w:b/>
                <w:bCs/>
                <w:i/>
                <w:iCs/>
                <w:szCs w:val="24"/>
              </w:rPr>
            </w:pPr>
            <w:r w:rsidRPr="00851A33">
              <w:rPr>
                <w:rFonts w:ascii="Calibri" w:hAnsi="Calibri" w:cs="Calibri"/>
                <w:szCs w:val="24"/>
              </w:rPr>
              <w:lastRenderedPageBreak/>
              <w:t xml:space="preserve">Where an exemption hasn’t been sought and/or granted and a family hasn’t paid fees, the school administration manager (SAM) refers to the NSW Department of Education Fee policy and guidelines for fee-recovery. Summary can be found below. </w:t>
            </w:r>
            <w:hyperlink r:id="rId11" w:history="1">
              <w:r w:rsidRPr="00851A33">
                <w:rPr>
                  <w:rStyle w:val="Hyperlink"/>
                  <w:rFonts w:ascii="Calibri" w:hAnsi="Calibri" w:cs="Calibri"/>
                  <w:b/>
                  <w:bCs/>
                  <w:i/>
                  <w:iCs/>
                  <w:szCs w:val="24"/>
                </w:rPr>
                <w:t>Ple</w:t>
              </w:r>
              <w:r w:rsidRPr="00851A33">
                <w:rPr>
                  <w:rStyle w:val="Hyperlink"/>
                  <w:rFonts w:ascii="Calibri" w:hAnsi="Calibri" w:cs="Calibri"/>
                  <w:b/>
                  <w:bCs/>
                  <w:i/>
                  <w:iCs/>
                  <w:szCs w:val="24"/>
                </w:rPr>
                <w:t>a</w:t>
              </w:r>
              <w:r w:rsidRPr="00851A33">
                <w:rPr>
                  <w:rStyle w:val="Hyperlink"/>
                  <w:rFonts w:ascii="Calibri" w:hAnsi="Calibri" w:cs="Calibri"/>
                  <w:b/>
                  <w:bCs/>
                  <w:i/>
                  <w:iCs/>
                  <w:szCs w:val="24"/>
                </w:rPr>
                <w:t>se refer to this policy for more information.</w:t>
              </w:r>
            </w:hyperlink>
          </w:p>
          <w:p w14:paraId="6BA1B841" w14:textId="77777777" w:rsidR="00851A33" w:rsidRPr="00851A33" w:rsidRDefault="00851A33" w:rsidP="00851A33">
            <w:pPr>
              <w:pStyle w:val="Body1"/>
              <w:rPr>
                <w:rFonts w:ascii="Calibri" w:hAnsi="Calibri" w:cs="Calibri"/>
                <w:b/>
                <w:bCs/>
                <w:i/>
                <w:iCs/>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881"/>
              <w:gridCol w:w="5808"/>
            </w:tblGrid>
            <w:tr w:rsidR="00C96E25" w:rsidRPr="00A0698D" w14:paraId="2D0DEAF9" w14:textId="77777777" w:rsidTr="00624BF5">
              <w:trPr>
                <w:trHeight w:val="541"/>
              </w:trPr>
              <w:tc>
                <w:tcPr>
                  <w:tcW w:w="2283" w:type="pct"/>
                  <w:tcBorders>
                    <w:top w:val="single" w:sz="4" w:space="0" w:color="auto"/>
                    <w:left w:val="single" w:sz="4" w:space="0" w:color="auto"/>
                    <w:bottom w:val="single" w:sz="4" w:space="0" w:color="auto"/>
                    <w:right w:val="single" w:sz="4" w:space="0" w:color="auto"/>
                  </w:tcBorders>
                  <w:shd w:val="clear" w:color="auto" w:fill="4472C4"/>
                  <w:hideMark/>
                </w:tcPr>
                <w:p w14:paraId="0B6C29F2" w14:textId="77777777" w:rsidR="00C96E25" w:rsidRPr="00A0698D" w:rsidRDefault="00C96E25" w:rsidP="00C96E25">
                  <w:pPr>
                    <w:spacing w:before="450" w:after="450" w:line="240" w:lineRule="auto"/>
                    <w:rPr>
                      <w:rFonts w:eastAsia="Times New Roman" w:cs="Calibri"/>
                      <w:b/>
                      <w:bCs/>
                      <w:color w:val="041E42"/>
                      <w:spacing w:val="2"/>
                      <w:sz w:val="24"/>
                      <w:szCs w:val="24"/>
                      <w:lang w:eastAsia="en-AU"/>
                    </w:rPr>
                  </w:pPr>
                  <w:r w:rsidRPr="00A0698D">
                    <w:rPr>
                      <w:rFonts w:eastAsia="Times New Roman" w:cs="Calibri"/>
                      <w:b/>
                      <w:bCs/>
                      <w:color w:val="041E42"/>
                      <w:spacing w:val="2"/>
                      <w:sz w:val="24"/>
                      <w:szCs w:val="24"/>
                      <w:lang w:eastAsia="en-AU"/>
                    </w:rPr>
                    <w:t>If no response received</w:t>
                  </w:r>
                </w:p>
              </w:tc>
              <w:tc>
                <w:tcPr>
                  <w:tcW w:w="2717" w:type="pct"/>
                  <w:tcBorders>
                    <w:top w:val="single" w:sz="4" w:space="0" w:color="auto"/>
                    <w:left w:val="single" w:sz="4" w:space="0" w:color="auto"/>
                    <w:bottom w:val="single" w:sz="4" w:space="0" w:color="auto"/>
                    <w:right w:val="single" w:sz="4" w:space="0" w:color="auto"/>
                  </w:tcBorders>
                  <w:shd w:val="clear" w:color="auto" w:fill="4472C4"/>
                  <w:hideMark/>
                </w:tcPr>
                <w:p w14:paraId="4F91F26C" w14:textId="77777777" w:rsidR="00C96E25" w:rsidRPr="00A0698D" w:rsidRDefault="00C96E25" w:rsidP="00C96E25">
                  <w:pPr>
                    <w:spacing w:before="450" w:after="450" w:line="240" w:lineRule="auto"/>
                    <w:rPr>
                      <w:rFonts w:eastAsia="Times New Roman" w:cs="Calibri"/>
                      <w:b/>
                      <w:bCs/>
                      <w:color w:val="041E42"/>
                      <w:spacing w:val="2"/>
                      <w:sz w:val="24"/>
                      <w:szCs w:val="24"/>
                      <w:lang w:eastAsia="en-AU"/>
                    </w:rPr>
                  </w:pPr>
                  <w:r w:rsidRPr="00A0698D">
                    <w:rPr>
                      <w:rFonts w:eastAsia="Times New Roman" w:cs="Calibri"/>
                      <w:b/>
                      <w:bCs/>
                      <w:color w:val="041E42"/>
                      <w:spacing w:val="2"/>
                      <w:sz w:val="24"/>
                      <w:szCs w:val="24"/>
                      <w:lang w:eastAsia="en-AU"/>
                    </w:rPr>
                    <w:t>Action to be taken</w:t>
                  </w:r>
                </w:p>
              </w:tc>
            </w:tr>
            <w:tr w:rsidR="00C96E25" w:rsidRPr="00A0698D" w14:paraId="1D47132F" w14:textId="77777777" w:rsidTr="00624BF5">
              <w:tc>
                <w:tcPr>
                  <w:tcW w:w="2283" w:type="pct"/>
                  <w:tcBorders>
                    <w:top w:val="single" w:sz="4" w:space="0" w:color="auto"/>
                    <w:left w:val="single" w:sz="4" w:space="0" w:color="auto"/>
                    <w:bottom w:val="single" w:sz="4" w:space="0" w:color="auto"/>
                    <w:right w:val="single" w:sz="4" w:space="0" w:color="auto"/>
                  </w:tcBorders>
                  <w:shd w:val="clear" w:color="auto" w:fill="4472C4"/>
                  <w:hideMark/>
                </w:tcPr>
                <w:p w14:paraId="09FC2388" w14:textId="77777777" w:rsidR="00C96E25" w:rsidRPr="00A0698D" w:rsidRDefault="00C96E25" w:rsidP="00C96E25">
                  <w:pPr>
                    <w:spacing w:after="150" w:line="240" w:lineRule="auto"/>
                    <w:rPr>
                      <w:rFonts w:eastAsia="Times New Roman" w:cs="Calibri"/>
                      <w:b/>
                      <w:bCs/>
                      <w:color w:val="041E42"/>
                      <w:spacing w:val="2"/>
                      <w:lang w:eastAsia="en-AU"/>
                    </w:rPr>
                  </w:pPr>
                  <w:r w:rsidRPr="00A0698D">
                    <w:rPr>
                      <w:rFonts w:eastAsia="Times New Roman" w:cs="Calibri"/>
                      <w:b/>
                      <w:bCs/>
                      <w:color w:val="041E42"/>
                      <w:spacing w:val="2"/>
                      <w:lang w:eastAsia="en-AU"/>
                    </w:rPr>
                    <w:t>Within 28 days of the date of issue of the invoice</w:t>
                  </w:r>
                </w:p>
              </w:tc>
              <w:tc>
                <w:tcPr>
                  <w:tcW w:w="2717" w:type="pct"/>
                  <w:tcBorders>
                    <w:top w:val="single" w:sz="4" w:space="0" w:color="auto"/>
                    <w:left w:val="single" w:sz="4" w:space="0" w:color="auto"/>
                    <w:bottom w:val="single" w:sz="4" w:space="0" w:color="auto"/>
                    <w:right w:val="single" w:sz="4" w:space="0" w:color="auto"/>
                  </w:tcBorders>
                  <w:shd w:val="clear" w:color="auto" w:fill="B4C6E7"/>
                  <w:hideMark/>
                </w:tcPr>
                <w:p w14:paraId="28EBE06A" w14:textId="77777777" w:rsidR="00C96E25" w:rsidRPr="00A0698D" w:rsidRDefault="00C96E25" w:rsidP="00C96E25">
                  <w:pPr>
                    <w:spacing w:after="0" w:line="240" w:lineRule="auto"/>
                    <w:rPr>
                      <w:rFonts w:eastAsia="Times New Roman" w:cs="Calibri"/>
                      <w:color w:val="041E42"/>
                      <w:spacing w:val="2"/>
                      <w:lang w:eastAsia="en-AU"/>
                    </w:rPr>
                  </w:pPr>
                  <w:r w:rsidRPr="00A0698D">
                    <w:rPr>
                      <w:rFonts w:eastAsia="Times New Roman" w:cs="Calibri"/>
                      <w:color w:val="041E42"/>
                      <w:spacing w:val="2"/>
                      <w:lang w:eastAsia="en-AU"/>
                    </w:rPr>
                    <w:t>A first reminder letter is to be sent to the Parent/Carer requesting payment of the fees. The letter is to:</w:t>
                  </w:r>
                </w:p>
                <w:p w14:paraId="7C0D0B56" w14:textId="77777777" w:rsidR="00C96E25" w:rsidRPr="00A0698D" w:rsidRDefault="00C96E25" w:rsidP="00C96E25">
                  <w:pPr>
                    <w:numPr>
                      <w:ilvl w:val="0"/>
                      <w:numId w:val="20"/>
                    </w:numPr>
                    <w:spacing w:before="100" w:beforeAutospacing="1" w:after="0" w:line="240" w:lineRule="auto"/>
                    <w:ind w:left="342" w:hanging="284"/>
                    <w:rPr>
                      <w:rFonts w:eastAsia="Times New Roman" w:cs="Calibri"/>
                      <w:color w:val="041E42"/>
                      <w:spacing w:val="2"/>
                      <w:lang w:eastAsia="en-AU"/>
                    </w:rPr>
                  </w:pPr>
                  <w:r w:rsidRPr="00A0698D">
                    <w:rPr>
                      <w:rFonts w:eastAsia="Times New Roman" w:cs="Calibri"/>
                      <w:color w:val="041E42"/>
                      <w:spacing w:val="2"/>
                      <w:lang w:eastAsia="en-AU"/>
                    </w:rPr>
                    <w:t>remind the parent/carer of obligations for payment of fees.</w:t>
                  </w:r>
                </w:p>
                <w:p w14:paraId="1B78D15D" w14:textId="77777777" w:rsidR="00C96E25" w:rsidRPr="00A0698D" w:rsidRDefault="00C96E25" w:rsidP="00C96E25">
                  <w:pPr>
                    <w:numPr>
                      <w:ilvl w:val="0"/>
                      <w:numId w:val="20"/>
                    </w:numPr>
                    <w:spacing w:before="100" w:beforeAutospacing="1" w:after="100" w:afterAutospacing="1" w:line="240" w:lineRule="auto"/>
                    <w:ind w:left="342" w:hanging="284"/>
                    <w:rPr>
                      <w:rFonts w:eastAsia="Times New Roman" w:cs="Calibri"/>
                      <w:color w:val="041E42"/>
                      <w:spacing w:val="2"/>
                      <w:lang w:eastAsia="en-AU"/>
                    </w:rPr>
                  </w:pPr>
                  <w:r w:rsidRPr="00A0698D">
                    <w:rPr>
                      <w:rFonts w:eastAsia="Times New Roman" w:cs="Calibri"/>
                      <w:color w:val="041E42"/>
                      <w:spacing w:val="2"/>
                      <w:lang w:eastAsia="en-AU"/>
                    </w:rPr>
                    <w:t>advise that the letter should be disregarded if payment has recently been made.</w:t>
                  </w:r>
                </w:p>
                <w:p w14:paraId="05049EA7" w14:textId="77777777" w:rsidR="00C96E25" w:rsidRPr="00A0698D" w:rsidRDefault="00C96E25" w:rsidP="00C96E25">
                  <w:pPr>
                    <w:numPr>
                      <w:ilvl w:val="0"/>
                      <w:numId w:val="20"/>
                    </w:numPr>
                    <w:spacing w:before="100" w:beforeAutospacing="1" w:after="0" w:line="240" w:lineRule="auto"/>
                    <w:ind w:left="342" w:hanging="284"/>
                    <w:rPr>
                      <w:rFonts w:eastAsia="Times New Roman" w:cs="Calibri"/>
                      <w:color w:val="041E42"/>
                      <w:spacing w:val="2"/>
                      <w:lang w:eastAsia="en-AU"/>
                    </w:rPr>
                  </w:pPr>
                  <w:r w:rsidRPr="00A0698D">
                    <w:rPr>
                      <w:rFonts w:eastAsia="Times New Roman" w:cs="Calibri"/>
                      <w:color w:val="041E42"/>
                      <w:spacing w:val="2"/>
                      <w:lang w:eastAsia="en-AU"/>
                    </w:rPr>
                    <w:t>ask the parent/carer to reply by return mail.</w:t>
                  </w:r>
                </w:p>
              </w:tc>
            </w:tr>
            <w:tr w:rsidR="00C96E25" w:rsidRPr="00A0698D" w14:paraId="799A913E" w14:textId="77777777" w:rsidTr="00624BF5">
              <w:tc>
                <w:tcPr>
                  <w:tcW w:w="2283" w:type="pct"/>
                  <w:tcBorders>
                    <w:top w:val="single" w:sz="4" w:space="0" w:color="auto"/>
                    <w:left w:val="single" w:sz="4" w:space="0" w:color="auto"/>
                    <w:bottom w:val="single" w:sz="4" w:space="0" w:color="auto"/>
                    <w:right w:val="single" w:sz="4" w:space="0" w:color="auto"/>
                  </w:tcBorders>
                  <w:shd w:val="clear" w:color="auto" w:fill="4472C4"/>
                  <w:hideMark/>
                </w:tcPr>
                <w:p w14:paraId="4AB7B37C" w14:textId="77777777" w:rsidR="00C96E25" w:rsidRPr="00A0698D" w:rsidRDefault="00C96E25" w:rsidP="00C96E25">
                  <w:pPr>
                    <w:spacing w:after="150" w:line="240" w:lineRule="auto"/>
                    <w:rPr>
                      <w:rFonts w:eastAsia="Times New Roman" w:cs="Calibri"/>
                      <w:b/>
                      <w:bCs/>
                      <w:color w:val="041E42"/>
                      <w:spacing w:val="2"/>
                      <w:lang w:eastAsia="en-AU"/>
                    </w:rPr>
                  </w:pPr>
                  <w:r w:rsidRPr="00A0698D">
                    <w:rPr>
                      <w:rFonts w:eastAsia="Times New Roman" w:cs="Calibri"/>
                      <w:b/>
                      <w:bCs/>
                      <w:color w:val="041E42"/>
                      <w:spacing w:val="2"/>
                      <w:lang w:eastAsia="en-AU"/>
                    </w:rPr>
                    <w:t>Within 14 days of the date of the first reminder letter</w:t>
                  </w:r>
                </w:p>
              </w:tc>
              <w:tc>
                <w:tcPr>
                  <w:tcW w:w="2717" w:type="pct"/>
                  <w:tcBorders>
                    <w:top w:val="single" w:sz="4" w:space="0" w:color="auto"/>
                    <w:left w:val="single" w:sz="4" w:space="0" w:color="auto"/>
                    <w:bottom w:val="single" w:sz="4" w:space="0" w:color="auto"/>
                    <w:right w:val="single" w:sz="4" w:space="0" w:color="auto"/>
                  </w:tcBorders>
                  <w:shd w:val="clear" w:color="auto" w:fill="D9E2F3"/>
                  <w:hideMark/>
                </w:tcPr>
                <w:p w14:paraId="046D8BD8" w14:textId="77777777" w:rsidR="00C96E25" w:rsidRPr="00A0698D" w:rsidRDefault="00C96E25" w:rsidP="00C96E25">
                  <w:pPr>
                    <w:spacing w:after="150" w:line="240" w:lineRule="auto"/>
                    <w:rPr>
                      <w:rFonts w:eastAsia="Times New Roman" w:cs="Calibri"/>
                      <w:color w:val="041E42"/>
                      <w:spacing w:val="2"/>
                      <w:lang w:eastAsia="en-AU"/>
                    </w:rPr>
                  </w:pPr>
                  <w:r w:rsidRPr="00A0698D">
                    <w:rPr>
                      <w:rFonts w:eastAsia="Times New Roman" w:cs="Calibri"/>
                      <w:color w:val="041E42"/>
                      <w:spacing w:val="2"/>
                      <w:lang w:eastAsia="en-AU"/>
                    </w:rPr>
                    <w:t>A second reminder letter is to be sent stating that if the fees remain unpaid within 14 days or a satisfactory reply has not been received, the account will be referred to Legal Services, Debt Recovery Officer for recovery action and for consideration of the student's continued attendance at the preschool.  The first reminder letter is to be referred to in the text of the second reminder letter.</w:t>
                  </w:r>
                </w:p>
              </w:tc>
            </w:tr>
            <w:tr w:rsidR="00C96E25" w:rsidRPr="00A0698D" w14:paraId="541C20E1" w14:textId="77777777" w:rsidTr="00624BF5">
              <w:tc>
                <w:tcPr>
                  <w:tcW w:w="2283" w:type="pct"/>
                  <w:tcBorders>
                    <w:top w:val="single" w:sz="4" w:space="0" w:color="auto"/>
                    <w:left w:val="single" w:sz="4" w:space="0" w:color="auto"/>
                    <w:bottom w:val="single" w:sz="4" w:space="0" w:color="auto"/>
                    <w:right w:val="single" w:sz="4" w:space="0" w:color="auto"/>
                  </w:tcBorders>
                  <w:shd w:val="clear" w:color="auto" w:fill="4472C4"/>
                  <w:hideMark/>
                </w:tcPr>
                <w:p w14:paraId="39C2E512" w14:textId="77777777" w:rsidR="00C96E25" w:rsidRPr="00A0698D" w:rsidRDefault="00C96E25" w:rsidP="00C96E25">
                  <w:pPr>
                    <w:spacing w:after="150" w:line="240" w:lineRule="auto"/>
                    <w:rPr>
                      <w:rFonts w:eastAsia="Times New Roman" w:cs="Calibri"/>
                      <w:b/>
                      <w:bCs/>
                      <w:color w:val="041E42"/>
                      <w:spacing w:val="2"/>
                      <w:lang w:eastAsia="en-AU"/>
                    </w:rPr>
                  </w:pPr>
                  <w:r w:rsidRPr="00A0698D">
                    <w:rPr>
                      <w:rFonts w:eastAsia="Times New Roman" w:cs="Calibri"/>
                      <w:b/>
                      <w:bCs/>
                      <w:color w:val="041E42"/>
                      <w:spacing w:val="2"/>
                      <w:lang w:eastAsia="en-AU"/>
                    </w:rPr>
                    <w:t>Within a further 14 days of the second reminder letter</w:t>
                  </w:r>
                </w:p>
              </w:tc>
              <w:tc>
                <w:tcPr>
                  <w:tcW w:w="2717" w:type="pct"/>
                  <w:tcBorders>
                    <w:top w:val="single" w:sz="4" w:space="0" w:color="auto"/>
                    <w:left w:val="single" w:sz="4" w:space="0" w:color="auto"/>
                    <w:bottom w:val="single" w:sz="4" w:space="0" w:color="auto"/>
                    <w:right w:val="single" w:sz="4" w:space="0" w:color="auto"/>
                  </w:tcBorders>
                  <w:shd w:val="clear" w:color="auto" w:fill="B4C6E7"/>
                  <w:hideMark/>
                </w:tcPr>
                <w:p w14:paraId="04DAAC99" w14:textId="77777777" w:rsidR="00C96E25" w:rsidRPr="00A0698D" w:rsidRDefault="00C96E25" w:rsidP="00C96E25">
                  <w:pPr>
                    <w:spacing w:after="150" w:line="240" w:lineRule="auto"/>
                    <w:rPr>
                      <w:rFonts w:eastAsia="Times New Roman" w:cs="Calibri"/>
                      <w:color w:val="041E42"/>
                      <w:spacing w:val="2"/>
                      <w:lang w:eastAsia="en-AU"/>
                    </w:rPr>
                  </w:pPr>
                  <w:r w:rsidRPr="00A0698D">
                    <w:rPr>
                      <w:rFonts w:eastAsia="Times New Roman" w:cs="Calibri"/>
                      <w:color w:val="041E42"/>
                      <w:spacing w:val="2"/>
                      <w:lang w:eastAsia="en-AU"/>
                    </w:rPr>
                    <w:t>A third letter referring to the two previous letters is to be sent, advising that the matter will be referred to Legal Services in 14 days.</w:t>
                  </w:r>
                </w:p>
              </w:tc>
            </w:tr>
            <w:tr w:rsidR="00C96E25" w:rsidRPr="00A0698D" w14:paraId="40FE7F3C" w14:textId="77777777" w:rsidTr="00624BF5">
              <w:tc>
                <w:tcPr>
                  <w:tcW w:w="2283" w:type="pct"/>
                  <w:tcBorders>
                    <w:top w:val="single" w:sz="4" w:space="0" w:color="auto"/>
                    <w:left w:val="single" w:sz="4" w:space="0" w:color="auto"/>
                    <w:bottom w:val="single" w:sz="4" w:space="0" w:color="auto"/>
                    <w:right w:val="single" w:sz="4" w:space="0" w:color="auto"/>
                  </w:tcBorders>
                  <w:shd w:val="clear" w:color="auto" w:fill="4472C4"/>
                  <w:hideMark/>
                </w:tcPr>
                <w:p w14:paraId="56263386" w14:textId="77777777" w:rsidR="00C96E25" w:rsidRPr="00A0698D" w:rsidRDefault="00C96E25" w:rsidP="00C96E25">
                  <w:pPr>
                    <w:spacing w:after="150" w:line="240" w:lineRule="auto"/>
                    <w:rPr>
                      <w:rFonts w:eastAsia="Times New Roman" w:cs="Calibri"/>
                      <w:b/>
                      <w:bCs/>
                      <w:color w:val="041E42"/>
                      <w:spacing w:val="2"/>
                      <w:lang w:eastAsia="en-AU"/>
                    </w:rPr>
                  </w:pPr>
                  <w:r w:rsidRPr="00A0698D">
                    <w:rPr>
                      <w:rFonts w:eastAsia="Times New Roman" w:cs="Calibri"/>
                      <w:b/>
                      <w:bCs/>
                      <w:color w:val="041E42"/>
                      <w:spacing w:val="2"/>
                      <w:lang w:eastAsia="en-AU"/>
                    </w:rPr>
                    <w:t>Within a further 14 days of the third reminder letter</w:t>
                  </w:r>
                </w:p>
              </w:tc>
              <w:tc>
                <w:tcPr>
                  <w:tcW w:w="2717" w:type="pct"/>
                  <w:tcBorders>
                    <w:top w:val="single" w:sz="4" w:space="0" w:color="auto"/>
                    <w:left w:val="single" w:sz="4" w:space="0" w:color="auto"/>
                    <w:bottom w:val="single" w:sz="4" w:space="0" w:color="auto"/>
                    <w:right w:val="single" w:sz="4" w:space="0" w:color="auto"/>
                  </w:tcBorders>
                  <w:shd w:val="clear" w:color="auto" w:fill="D9E2F3"/>
                  <w:hideMark/>
                </w:tcPr>
                <w:p w14:paraId="12938914" w14:textId="77777777" w:rsidR="00C96E25" w:rsidRPr="00A0698D" w:rsidRDefault="00C96E25" w:rsidP="00C96E25">
                  <w:pPr>
                    <w:spacing w:after="150" w:line="240" w:lineRule="auto"/>
                    <w:rPr>
                      <w:rFonts w:eastAsia="Times New Roman" w:cs="Calibri"/>
                      <w:color w:val="041E42"/>
                      <w:spacing w:val="2"/>
                      <w:lang w:eastAsia="en-AU"/>
                    </w:rPr>
                  </w:pPr>
                  <w:r w:rsidRPr="00A0698D">
                    <w:rPr>
                      <w:rFonts w:eastAsia="Times New Roman" w:cs="Calibri"/>
                      <w:color w:val="041E42"/>
                      <w:spacing w:val="2"/>
                      <w:lang w:eastAsia="en-AU"/>
                    </w:rPr>
                    <w:t>The matter is to be submitted to the Debt Recovery Officer at Legal Services for action to recover the debt, and the student is to be withdrawn from the preschool.</w:t>
                  </w:r>
                </w:p>
              </w:tc>
            </w:tr>
            <w:tr w:rsidR="00C96E25" w:rsidRPr="00A0698D" w14:paraId="4C1B56AA" w14:textId="77777777" w:rsidTr="00624BF5">
              <w:tc>
                <w:tcPr>
                  <w:tcW w:w="2283" w:type="pct"/>
                  <w:tcBorders>
                    <w:top w:val="single" w:sz="4" w:space="0" w:color="auto"/>
                    <w:left w:val="single" w:sz="4" w:space="0" w:color="auto"/>
                    <w:bottom w:val="single" w:sz="4" w:space="0" w:color="auto"/>
                    <w:right w:val="single" w:sz="4" w:space="0" w:color="auto"/>
                  </w:tcBorders>
                  <w:shd w:val="clear" w:color="auto" w:fill="4472C4"/>
                  <w:hideMark/>
                </w:tcPr>
                <w:p w14:paraId="7E63F8C2" w14:textId="77777777" w:rsidR="00C96E25" w:rsidRPr="00A0698D" w:rsidRDefault="00C96E25" w:rsidP="00C96E25">
                  <w:pPr>
                    <w:spacing w:after="150" w:line="240" w:lineRule="auto"/>
                    <w:rPr>
                      <w:rFonts w:eastAsia="Times New Roman" w:cs="Calibri"/>
                      <w:b/>
                      <w:bCs/>
                      <w:color w:val="041E42"/>
                      <w:spacing w:val="2"/>
                      <w:lang w:eastAsia="en-AU"/>
                    </w:rPr>
                  </w:pPr>
                  <w:r w:rsidRPr="00A0698D">
                    <w:rPr>
                      <w:rFonts w:eastAsia="Times New Roman" w:cs="Calibri"/>
                      <w:b/>
                      <w:bCs/>
                      <w:color w:val="041E42"/>
                      <w:spacing w:val="2"/>
                      <w:lang w:eastAsia="en-AU"/>
                    </w:rPr>
                    <w:t>For a student who has left the school and fees remain unpaid</w:t>
                  </w:r>
                </w:p>
              </w:tc>
              <w:tc>
                <w:tcPr>
                  <w:tcW w:w="2717" w:type="pct"/>
                  <w:tcBorders>
                    <w:top w:val="single" w:sz="4" w:space="0" w:color="auto"/>
                    <w:left w:val="single" w:sz="4" w:space="0" w:color="auto"/>
                    <w:bottom w:val="single" w:sz="4" w:space="0" w:color="auto"/>
                    <w:right w:val="single" w:sz="4" w:space="0" w:color="auto"/>
                  </w:tcBorders>
                  <w:shd w:val="clear" w:color="auto" w:fill="B4C6E7"/>
                  <w:hideMark/>
                </w:tcPr>
                <w:p w14:paraId="5C4B341E" w14:textId="77777777" w:rsidR="00C96E25" w:rsidRPr="00A0698D" w:rsidRDefault="00C96E25" w:rsidP="00C96E25">
                  <w:pPr>
                    <w:spacing w:after="150" w:line="240" w:lineRule="auto"/>
                    <w:rPr>
                      <w:rFonts w:eastAsia="Times New Roman" w:cs="Calibri"/>
                      <w:color w:val="041E42"/>
                      <w:spacing w:val="2"/>
                      <w:lang w:eastAsia="en-AU"/>
                    </w:rPr>
                  </w:pPr>
                  <w:r w:rsidRPr="00A0698D">
                    <w:rPr>
                      <w:rFonts w:eastAsia="Times New Roman" w:cs="Calibri"/>
                      <w:color w:val="041E42"/>
                      <w:spacing w:val="2"/>
                      <w:lang w:eastAsia="en-AU"/>
                    </w:rPr>
                    <w:t>The same sequence of letters for past students is to be undertaken before referring to Legal Services for debt recovery.</w:t>
                  </w:r>
                </w:p>
              </w:tc>
            </w:tr>
          </w:tbl>
          <w:p w14:paraId="403CE470" w14:textId="7B147972" w:rsidR="00C96E25" w:rsidRPr="00851A33" w:rsidRDefault="00C96E25" w:rsidP="00651460">
            <w:pPr>
              <w:rPr>
                <w:sz w:val="24"/>
                <w:szCs w:val="24"/>
              </w:rPr>
            </w:pPr>
          </w:p>
          <w:p w14:paraId="6AC82D38" w14:textId="77777777" w:rsidR="00C96E25" w:rsidRPr="00851A33" w:rsidRDefault="00C96E25" w:rsidP="00C96E25">
            <w:pPr>
              <w:pStyle w:val="Body1"/>
              <w:numPr>
                <w:ilvl w:val="0"/>
                <w:numId w:val="19"/>
              </w:numPr>
              <w:rPr>
                <w:rFonts w:ascii="Calibri" w:hAnsi="Calibri" w:cs="Calibri"/>
                <w:szCs w:val="24"/>
              </w:rPr>
            </w:pPr>
            <w:r w:rsidRPr="00851A33">
              <w:rPr>
                <w:rFonts w:ascii="Calibri" w:hAnsi="Calibri" w:cs="Calibri"/>
                <w:szCs w:val="24"/>
              </w:rPr>
              <w:t xml:space="preserve">Fees are still invoiced in the case of illness or leave. Families can apply for fee-relief for extended illness or leave and will be granted at the principal’s discretion. </w:t>
            </w:r>
          </w:p>
          <w:p w14:paraId="1C7BBEBF" w14:textId="77777777" w:rsidR="00C96E25" w:rsidRPr="00851A33" w:rsidRDefault="00C96E25" w:rsidP="00C96E25">
            <w:pPr>
              <w:pStyle w:val="Body1"/>
              <w:ind w:left="720"/>
              <w:rPr>
                <w:rFonts w:ascii="Calibri" w:hAnsi="Calibri" w:cs="Calibri"/>
                <w:szCs w:val="24"/>
              </w:rPr>
            </w:pPr>
          </w:p>
          <w:p w14:paraId="52517389" w14:textId="77777777" w:rsidR="00C96E25" w:rsidRPr="00851A33" w:rsidRDefault="00C96E25" w:rsidP="00C96E25">
            <w:pPr>
              <w:pStyle w:val="Body1"/>
              <w:numPr>
                <w:ilvl w:val="0"/>
                <w:numId w:val="19"/>
              </w:numPr>
              <w:rPr>
                <w:rFonts w:ascii="Calibri" w:hAnsi="Calibri" w:cs="Calibri"/>
                <w:szCs w:val="24"/>
              </w:rPr>
            </w:pPr>
            <w:r w:rsidRPr="00851A33">
              <w:rPr>
                <w:rFonts w:ascii="Calibri" w:hAnsi="Calibri" w:cs="Calibri"/>
                <w:szCs w:val="24"/>
              </w:rPr>
              <w:t>A child’s placement at the preschool may be held during extended leave or illness, provided that;</w:t>
            </w:r>
          </w:p>
          <w:p w14:paraId="19CA39EB" w14:textId="77777777" w:rsidR="00C96E25" w:rsidRPr="00851A33" w:rsidRDefault="00C96E25" w:rsidP="00C96E25">
            <w:pPr>
              <w:pStyle w:val="Body1"/>
              <w:numPr>
                <w:ilvl w:val="0"/>
                <w:numId w:val="22"/>
              </w:numPr>
              <w:rPr>
                <w:rFonts w:ascii="Calibri" w:hAnsi="Calibri" w:cs="Calibri"/>
                <w:szCs w:val="24"/>
              </w:rPr>
            </w:pPr>
            <w:r w:rsidRPr="00851A33">
              <w:rPr>
                <w:rFonts w:ascii="Calibri" w:hAnsi="Calibri" w:cs="Calibri"/>
                <w:szCs w:val="24"/>
              </w:rPr>
              <w:t>fees are up to date</w:t>
            </w:r>
          </w:p>
          <w:p w14:paraId="7E1CBC77" w14:textId="77777777" w:rsidR="00C96E25" w:rsidRPr="00851A33" w:rsidRDefault="00C96E25" w:rsidP="00C96E25">
            <w:pPr>
              <w:pStyle w:val="Body1"/>
              <w:numPr>
                <w:ilvl w:val="0"/>
                <w:numId w:val="22"/>
              </w:numPr>
              <w:rPr>
                <w:rFonts w:ascii="Calibri" w:hAnsi="Calibri" w:cs="Calibri"/>
                <w:szCs w:val="24"/>
              </w:rPr>
            </w:pPr>
            <w:r w:rsidRPr="00851A33">
              <w:rPr>
                <w:rFonts w:ascii="Calibri" w:hAnsi="Calibri" w:cs="Calibri"/>
                <w:szCs w:val="24"/>
              </w:rPr>
              <w:t xml:space="preserve">there is not a waiting list for preschool placements. If there is a waiting list, families will need to pay fees for this period to hold their place.    </w:t>
            </w:r>
          </w:p>
          <w:p w14:paraId="2F77281A" w14:textId="77777777" w:rsidR="00C96E25" w:rsidRPr="00851A33" w:rsidRDefault="00C96E25" w:rsidP="00C96E25">
            <w:pPr>
              <w:pStyle w:val="Body1"/>
              <w:rPr>
                <w:rFonts w:ascii="Calibri" w:hAnsi="Calibri" w:cs="Calibri"/>
                <w:szCs w:val="24"/>
              </w:rPr>
            </w:pPr>
          </w:p>
          <w:p w14:paraId="094A457D" w14:textId="77777777" w:rsidR="00C96E25" w:rsidRPr="00851A33" w:rsidRDefault="00C96E25" w:rsidP="00C96E25">
            <w:pPr>
              <w:pStyle w:val="Body1"/>
              <w:numPr>
                <w:ilvl w:val="0"/>
                <w:numId w:val="19"/>
              </w:numPr>
              <w:rPr>
                <w:rFonts w:ascii="Calibri" w:hAnsi="Calibri" w:cs="Calibri"/>
                <w:szCs w:val="24"/>
              </w:rPr>
            </w:pPr>
            <w:r w:rsidRPr="00851A33">
              <w:rPr>
                <w:rFonts w:ascii="Calibri" w:hAnsi="Calibri" w:cs="Calibri"/>
                <w:szCs w:val="24"/>
              </w:rPr>
              <w:t>Families can make fee payments online via the school website or by cash or cheque to the administration office and payment schedules are flexible to suit the needs of the families. All payments are receipted.</w:t>
            </w:r>
          </w:p>
          <w:p w14:paraId="0158904D" w14:textId="77777777" w:rsidR="00C96E25" w:rsidRPr="00851A33" w:rsidRDefault="00C96E25" w:rsidP="00C96E25">
            <w:pPr>
              <w:pStyle w:val="Body1"/>
              <w:rPr>
                <w:rFonts w:ascii="Calibri" w:hAnsi="Calibri" w:cs="Calibri"/>
                <w:b/>
                <w:szCs w:val="24"/>
                <w:u w:val="single"/>
              </w:rPr>
            </w:pPr>
          </w:p>
          <w:p w14:paraId="79127E6B" w14:textId="0ECF1B82" w:rsidR="006275C9" w:rsidRPr="00851A33" w:rsidRDefault="006275C9" w:rsidP="00851A33">
            <w:pPr>
              <w:spacing w:after="0"/>
              <w:rPr>
                <w:rFonts w:cs="Calibri"/>
                <w:b/>
              </w:rPr>
            </w:pPr>
          </w:p>
        </w:tc>
      </w:tr>
    </w:tbl>
    <w:p w14:paraId="331E8539" w14:textId="70F4470E" w:rsidR="000C32DE" w:rsidRPr="000C32DE" w:rsidRDefault="000C32DE" w:rsidP="00EF4A13">
      <w:pPr>
        <w:spacing w:after="0" w:line="240" w:lineRule="auto"/>
        <w:ind w:right="-15"/>
        <w:outlineLvl w:val="1"/>
        <w:rPr>
          <w:rFonts w:ascii="Arial" w:eastAsia="Times New Roman" w:hAnsi="Arial" w:cs="Arial"/>
          <w:b/>
          <w:bCs/>
          <w:color w:val="000000"/>
          <w:spacing w:val="2"/>
          <w:sz w:val="36"/>
          <w:szCs w:val="36"/>
          <w:lang w:eastAsia="en-A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00F13A46" w:rsidRPr="00F13A46" w14:paraId="1E60FBA2" w14:textId="77777777" w:rsidTr="00F13A46">
        <w:trPr>
          <w:tblCellSpacing w:w="15" w:type="dxa"/>
        </w:trPr>
        <w:tc>
          <w:tcPr>
            <w:tcW w:w="0" w:type="auto"/>
            <w:vAlign w:val="center"/>
            <w:hideMark/>
          </w:tcPr>
          <w:p w14:paraId="6BE3D4A0" w14:textId="77777777" w:rsidR="00F13A46" w:rsidRPr="00F13A46" w:rsidRDefault="00F13A46" w:rsidP="00B5541C">
            <w:pPr>
              <w:spacing w:before="100" w:beforeAutospacing="1" w:after="100" w:afterAutospacing="1" w:line="240" w:lineRule="auto"/>
              <w:ind w:left="720"/>
              <w:rPr>
                <w:rFonts w:ascii="Times New Roman" w:eastAsia="Times New Roman" w:hAnsi="Times New Roman" w:cs="Times New Roman"/>
                <w:sz w:val="24"/>
                <w:szCs w:val="24"/>
                <w:lang w:val="en" w:eastAsia="en-AU"/>
              </w:rPr>
            </w:pPr>
          </w:p>
        </w:tc>
      </w:tr>
    </w:tbl>
    <w:p w14:paraId="3594533D" w14:textId="77777777" w:rsidR="00387AEC" w:rsidRPr="00387AEC" w:rsidRDefault="00387AEC">
      <w:pPr>
        <w:rPr>
          <w:lang w:val="en-US"/>
        </w:rPr>
      </w:pPr>
    </w:p>
    <w:sectPr w:rsidR="00387AEC" w:rsidRPr="00387AEC" w:rsidSect="00496CFB">
      <w:pgSz w:w="11906" w:h="16838"/>
      <w:pgMar w:top="107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34DC"/>
    <w:multiLevelType w:val="multilevel"/>
    <w:tmpl w:val="53A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22A62"/>
    <w:multiLevelType w:val="multilevel"/>
    <w:tmpl w:val="652E3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17670"/>
    <w:multiLevelType w:val="multilevel"/>
    <w:tmpl w:val="FA2A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B77BA"/>
    <w:multiLevelType w:val="hybridMultilevel"/>
    <w:tmpl w:val="89560F70"/>
    <w:lvl w:ilvl="0" w:tplc="088E77BA">
      <w:start w:val="7"/>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542966"/>
    <w:multiLevelType w:val="hybridMultilevel"/>
    <w:tmpl w:val="CCFA2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3245350"/>
    <w:multiLevelType w:val="hybridMultilevel"/>
    <w:tmpl w:val="F0E89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E07D39"/>
    <w:multiLevelType w:val="hybridMultilevel"/>
    <w:tmpl w:val="88361E74"/>
    <w:lvl w:ilvl="0" w:tplc="88C6AE58">
      <w:start w:val="1"/>
      <w:numFmt w:val="decimal"/>
      <w:lvlText w:val="%1."/>
      <w:lvlJc w:val="left"/>
      <w:pPr>
        <w:ind w:left="720" w:hanging="360"/>
      </w:pPr>
      <w:rPr>
        <w:rFonts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91196B"/>
    <w:multiLevelType w:val="multilevel"/>
    <w:tmpl w:val="87C0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317F11"/>
    <w:multiLevelType w:val="hybridMultilevel"/>
    <w:tmpl w:val="28EC40AC"/>
    <w:lvl w:ilvl="0" w:tplc="A3243748">
      <w:start w:val="1"/>
      <w:numFmt w:val="bullet"/>
      <w:lvlText w:val="-"/>
      <w:lvlJc w:val="left"/>
      <w:pPr>
        <w:ind w:left="1800" w:hanging="360"/>
      </w:pPr>
      <w:rPr>
        <w:rFonts w:ascii="Calibri" w:eastAsia="Arial Unicode MS"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D05765"/>
    <w:multiLevelType w:val="hybridMultilevel"/>
    <w:tmpl w:val="6E02AB84"/>
    <w:lvl w:ilvl="0" w:tplc="8C9E115C">
      <w:numFmt w:val="bullet"/>
      <w:lvlText w:val="-"/>
      <w:lvlJc w:val="left"/>
      <w:pPr>
        <w:ind w:left="420" w:hanging="360"/>
      </w:pPr>
      <w:rPr>
        <w:rFonts w:ascii="Arial" w:eastAsia="Arial" w:hAnsi="Arial" w:cs="Arial"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2"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2DF00AF"/>
    <w:multiLevelType w:val="hybridMultilevel"/>
    <w:tmpl w:val="DD92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CA10F5"/>
    <w:multiLevelType w:val="hybridMultilevel"/>
    <w:tmpl w:val="95B0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B658E2"/>
    <w:multiLevelType w:val="hybridMultilevel"/>
    <w:tmpl w:val="1E62098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5C7C5A7C"/>
    <w:multiLevelType w:val="multilevel"/>
    <w:tmpl w:val="3E7A5A06"/>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606124B7"/>
    <w:multiLevelType w:val="hybridMultilevel"/>
    <w:tmpl w:val="9092C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175518"/>
    <w:multiLevelType w:val="multilevel"/>
    <w:tmpl w:val="9C4E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A06EF0"/>
    <w:multiLevelType w:val="hybridMultilevel"/>
    <w:tmpl w:val="878ECC36"/>
    <w:lvl w:ilvl="0" w:tplc="819A790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3D2111"/>
    <w:multiLevelType w:val="hybridMultilevel"/>
    <w:tmpl w:val="6CD22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8005984"/>
    <w:multiLevelType w:val="hybridMultilevel"/>
    <w:tmpl w:val="A978D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16"/>
  </w:num>
  <w:num w:numId="5">
    <w:abstractNumId w:val="11"/>
  </w:num>
  <w:num w:numId="6">
    <w:abstractNumId w:val="20"/>
  </w:num>
  <w:num w:numId="7">
    <w:abstractNumId w:val="4"/>
  </w:num>
  <w:num w:numId="8">
    <w:abstractNumId w:val="0"/>
  </w:num>
  <w:num w:numId="9">
    <w:abstractNumId w:val="14"/>
  </w:num>
  <w:num w:numId="10">
    <w:abstractNumId w:val="8"/>
  </w:num>
  <w:num w:numId="11">
    <w:abstractNumId w:val="2"/>
  </w:num>
  <w:num w:numId="12">
    <w:abstractNumId w:val="1"/>
  </w:num>
  <w:num w:numId="13">
    <w:abstractNumId w:val="18"/>
  </w:num>
  <w:num w:numId="14">
    <w:abstractNumId w:val="13"/>
  </w:num>
  <w:num w:numId="15">
    <w:abstractNumId w:val="5"/>
  </w:num>
  <w:num w:numId="16">
    <w:abstractNumId w:val="17"/>
  </w:num>
  <w:num w:numId="17">
    <w:abstractNumId w:val="21"/>
  </w:num>
  <w:num w:numId="18">
    <w:abstractNumId w:val="3"/>
  </w:num>
  <w:num w:numId="19">
    <w:abstractNumId w:val="6"/>
  </w:num>
  <w:num w:numId="20">
    <w:abstractNumId w:val="19"/>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EC"/>
    <w:rsid w:val="0003449E"/>
    <w:rsid w:val="000879EE"/>
    <w:rsid w:val="000C32DE"/>
    <w:rsid w:val="00107F59"/>
    <w:rsid w:val="00111C3F"/>
    <w:rsid w:val="00156CBE"/>
    <w:rsid w:val="0016232C"/>
    <w:rsid w:val="00177C64"/>
    <w:rsid w:val="001D3BEE"/>
    <w:rsid w:val="002176A4"/>
    <w:rsid w:val="00242695"/>
    <w:rsid w:val="00260455"/>
    <w:rsid w:val="002F5D50"/>
    <w:rsid w:val="0032476C"/>
    <w:rsid w:val="00357296"/>
    <w:rsid w:val="00365CD3"/>
    <w:rsid w:val="00386A2D"/>
    <w:rsid w:val="00387AEC"/>
    <w:rsid w:val="003C2478"/>
    <w:rsid w:val="003D212C"/>
    <w:rsid w:val="003F627F"/>
    <w:rsid w:val="0040685C"/>
    <w:rsid w:val="00417C6F"/>
    <w:rsid w:val="004310DF"/>
    <w:rsid w:val="00443181"/>
    <w:rsid w:val="00455FF2"/>
    <w:rsid w:val="00472F30"/>
    <w:rsid w:val="004826E0"/>
    <w:rsid w:val="00483857"/>
    <w:rsid w:val="00496CFB"/>
    <w:rsid w:val="004B2CEB"/>
    <w:rsid w:val="004B6D0A"/>
    <w:rsid w:val="00522F4D"/>
    <w:rsid w:val="005273CE"/>
    <w:rsid w:val="0053258C"/>
    <w:rsid w:val="005523DE"/>
    <w:rsid w:val="005602DB"/>
    <w:rsid w:val="005840EB"/>
    <w:rsid w:val="006178DE"/>
    <w:rsid w:val="006275C9"/>
    <w:rsid w:val="00647E51"/>
    <w:rsid w:val="00651460"/>
    <w:rsid w:val="006B327C"/>
    <w:rsid w:val="006F0C78"/>
    <w:rsid w:val="007306D0"/>
    <w:rsid w:val="0073507C"/>
    <w:rsid w:val="00777FBF"/>
    <w:rsid w:val="007E0D62"/>
    <w:rsid w:val="007F0D50"/>
    <w:rsid w:val="008058F0"/>
    <w:rsid w:val="00807348"/>
    <w:rsid w:val="00830C4B"/>
    <w:rsid w:val="00850F58"/>
    <w:rsid w:val="00851A33"/>
    <w:rsid w:val="008542B0"/>
    <w:rsid w:val="008775FC"/>
    <w:rsid w:val="008A132E"/>
    <w:rsid w:val="00904F41"/>
    <w:rsid w:val="00910E38"/>
    <w:rsid w:val="00954AE4"/>
    <w:rsid w:val="00957ECD"/>
    <w:rsid w:val="0099193C"/>
    <w:rsid w:val="009E0946"/>
    <w:rsid w:val="009F0851"/>
    <w:rsid w:val="00A00D26"/>
    <w:rsid w:val="00A67192"/>
    <w:rsid w:val="00A6729E"/>
    <w:rsid w:val="00A67E4B"/>
    <w:rsid w:val="00A73636"/>
    <w:rsid w:val="00B20D7C"/>
    <w:rsid w:val="00B5541C"/>
    <w:rsid w:val="00B731A9"/>
    <w:rsid w:val="00B81A2C"/>
    <w:rsid w:val="00C844B6"/>
    <w:rsid w:val="00C96E25"/>
    <w:rsid w:val="00CC3307"/>
    <w:rsid w:val="00CC4555"/>
    <w:rsid w:val="00CC46CB"/>
    <w:rsid w:val="00CE26B7"/>
    <w:rsid w:val="00D01D5E"/>
    <w:rsid w:val="00D34CEB"/>
    <w:rsid w:val="00D61D2C"/>
    <w:rsid w:val="00D71205"/>
    <w:rsid w:val="00D81809"/>
    <w:rsid w:val="00DD6AA7"/>
    <w:rsid w:val="00E24213"/>
    <w:rsid w:val="00E35D69"/>
    <w:rsid w:val="00E567DE"/>
    <w:rsid w:val="00E6765F"/>
    <w:rsid w:val="00E82A15"/>
    <w:rsid w:val="00EF4A13"/>
    <w:rsid w:val="00F02FC9"/>
    <w:rsid w:val="00F13A46"/>
    <w:rsid w:val="00F6466F"/>
    <w:rsid w:val="00FF1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6ACC246C-0012-4912-8D1C-7A5130CA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styleId="FollowedHyperlink">
    <w:name w:val="FollowedHyperlink"/>
    <w:basedOn w:val="DefaultParagraphFont"/>
    <w:uiPriority w:val="99"/>
    <w:semiHidden/>
    <w:unhideWhenUsed/>
    <w:rsid w:val="00242695"/>
    <w:rPr>
      <w:color w:val="954F72" w:themeColor="followedHyperlink"/>
      <w:u w:val="single"/>
    </w:rPr>
  </w:style>
  <w:style w:type="paragraph" w:customStyle="1" w:styleId="Default">
    <w:name w:val="Default"/>
    <w:rsid w:val="00C96E25"/>
    <w:pPr>
      <w:autoSpaceDE w:val="0"/>
      <w:autoSpaceDN w:val="0"/>
      <w:adjustRightInd w:val="0"/>
      <w:spacing w:after="0" w:line="240" w:lineRule="auto"/>
    </w:pPr>
    <w:rPr>
      <w:rFonts w:ascii="Arial" w:hAnsi="Arial" w:cs="Arial"/>
      <w:color w:val="000000"/>
      <w:sz w:val="24"/>
      <w:szCs w:val="24"/>
    </w:rPr>
  </w:style>
  <w:style w:type="paragraph" w:customStyle="1" w:styleId="Body1">
    <w:name w:val="Body 1"/>
    <w:rsid w:val="00C96E25"/>
    <w:pPr>
      <w:spacing w:after="0" w:line="240" w:lineRule="auto"/>
    </w:pPr>
    <w:rPr>
      <w:rFonts w:ascii="Helvetica" w:eastAsia="Arial Unicode MS" w:hAnsi="Helvetica" w:cs="Times New Roman"/>
      <w:color w:val="000000"/>
      <w:sz w:val="24"/>
      <w:szCs w:val="20"/>
      <w:lang w:eastAsia="en-AU"/>
    </w:rPr>
  </w:style>
  <w:style w:type="character" w:styleId="UnresolvedMention">
    <w:name w:val="Unresolved Mention"/>
    <w:basedOn w:val="DefaultParagraphFont"/>
    <w:uiPriority w:val="99"/>
    <w:semiHidden/>
    <w:unhideWhenUsed/>
    <w:rsid w:val="00C96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1266496784">
      <w:bodyDiv w:val="1"/>
      <w:marLeft w:val="0"/>
      <w:marRight w:val="0"/>
      <w:marTop w:val="0"/>
      <w:marBottom w:val="0"/>
      <w:divBdr>
        <w:top w:val="none" w:sz="0" w:space="0" w:color="auto"/>
        <w:left w:val="none" w:sz="0" w:space="0" w:color="auto"/>
        <w:bottom w:val="none" w:sz="0" w:space="0" w:color="auto"/>
        <w:right w:val="none" w:sz="0" w:space="0" w:color="auto"/>
      </w:divBdr>
      <w:divsChild>
        <w:div w:id="1665745032">
          <w:marLeft w:val="0"/>
          <w:marRight w:val="0"/>
          <w:marTop w:val="0"/>
          <w:marBottom w:val="0"/>
          <w:divBdr>
            <w:top w:val="none" w:sz="0" w:space="0" w:color="auto"/>
            <w:left w:val="none" w:sz="0" w:space="0" w:color="auto"/>
            <w:bottom w:val="none" w:sz="0" w:space="0" w:color="auto"/>
            <w:right w:val="none" w:sz="0" w:space="0" w:color="auto"/>
          </w:divBdr>
          <w:divsChild>
            <w:div w:id="1804732192">
              <w:marLeft w:val="0"/>
              <w:marRight w:val="0"/>
              <w:marTop w:val="0"/>
              <w:marBottom w:val="0"/>
              <w:divBdr>
                <w:top w:val="none" w:sz="0" w:space="0" w:color="auto"/>
                <w:left w:val="none" w:sz="0" w:space="0" w:color="auto"/>
                <w:bottom w:val="none" w:sz="0" w:space="0" w:color="auto"/>
                <w:right w:val="none" w:sz="0" w:space="0" w:color="auto"/>
              </w:divBdr>
              <w:divsChild>
                <w:div w:id="10962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policy-library/policies/preschool-class-fees-in-government-schools?refid=28586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nsw.gov.au/teaching-and-learning/curriculum/preschool/policies-and-procedu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sequella.det.nsw.edu.au/file/a240a1ff-d3e3-4883-92b4-a3591f4e12d7/1/leading-and-operating-department-preschool-guidelines.pdf" TargetMode="External"/><Relationship Id="rId11" Type="http://schemas.openxmlformats.org/officeDocument/2006/relationships/hyperlink" Target="https://education.nsw.gov.au/policy-library/policies/preschool-class-fees-in-government-schools" TargetMode="External"/><Relationship Id="rId5" Type="http://schemas.openxmlformats.org/officeDocument/2006/relationships/image" Target="media/image1.jpg"/><Relationship Id="rId10" Type="http://schemas.openxmlformats.org/officeDocument/2006/relationships/hyperlink" Target="https://www.myschool.edu.au/school/41982" TargetMode="External"/><Relationship Id="rId4" Type="http://schemas.openxmlformats.org/officeDocument/2006/relationships/webSettings" Target="webSettings.xml"/><Relationship Id="rId9" Type="http://schemas.openxmlformats.org/officeDocument/2006/relationships/hyperlink" Target="https://education.nsw.gov.au/policy-library/policies/preschool-class-fees-in-government-schools?refid=2858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Rebecca Dodds</cp:lastModifiedBy>
  <cp:revision>5</cp:revision>
  <cp:lastPrinted>2017-08-24T03:50:00Z</cp:lastPrinted>
  <dcterms:created xsi:type="dcterms:W3CDTF">2020-09-27T00:03:00Z</dcterms:created>
  <dcterms:modified xsi:type="dcterms:W3CDTF">2020-09-27T04:48:00Z</dcterms:modified>
</cp:coreProperties>
</file>