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7E42" w14:textId="5A164489" w:rsidR="002F5D50" w:rsidRDefault="009515D6" w:rsidP="00300982">
      <w:pPr>
        <w:rPr>
          <w:rFonts w:ascii="Arial" w:eastAsia="Arial" w:hAnsi="Arial" w:cs="Arial"/>
          <w:b/>
          <w:color w:val="0070C0"/>
          <w:sz w:val="30"/>
          <w:szCs w:val="30"/>
        </w:rPr>
      </w:pPr>
      <w:r>
        <w:rPr>
          <w:rFonts w:ascii="Arial" w:eastAsia="Arial" w:hAnsi="Arial" w:cs="Arial"/>
          <w:b/>
          <w:noProof/>
          <w:color w:val="0070C0"/>
          <w:sz w:val="30"/>
          <w:szCs w:val="30"/>
          <w:lang w:eastAsia="en-AU"/>
        </w:rPr>
        <w:drawing>
          <wp:anchor distT="0" distB="0" distL="114300" distR="114300" simplePos="0" relativeHeight="251658240" behindDoc="0" locked="0" layoutInCell="1" allowOverlap="1" wp14:anchorId="79C1CF84" wp14:editId="486AD4B5">
            <wp:simplePos x="0" y="0"/>
            <wp:positionH relativeFrom="column">
              <wp:posOffset>5848350</wp:posOffset>
            </wp:positionH>
            <wp:positionV relativeFrom="paragraph">
              <wp:posOffset>42545</wp:posOffset>
            </wp:positionV>
            <wp:extent cx="698500" cy="72326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ale-public-schoo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8B8">
        <w:rPr>
          <w:rFonts w:ascii="Arial" w:eastAsia="Arial" w:hAnsi="Arial" w:cs="Arial"/>
          <w:b/>
          <w:color w:val="0070C0"/>
          <w:sz w:val="30"/>
          <w:szCs w:val="30"/>
        </w:rPr>
        <w:t>Waratah</w:t>
      </w:r>
      <w:r w:rsidR="00A759BC">
        <w:rPr>
          <w:rFonts w:ascii="Arial" w:eastAsia="Arial" w:hAnsi="Arial" w:cs="Arial"/>
          <w:b/>
          <w:color w:val="0070C0"/>
          <w:sz w:val="30"/>
          <w:szCs w:val="30"/>
        </w:rPr>
        <w:t xml:space="preserve"> </w:t>
      </w:r>
      <w:r w:rsidR="002F5D50">
        <w:rPr>
          <w:rFonts w:ascii="Arial" w:eastAsia="Arial" w:hAnsi="Arial" w:cs="Arial"/>
          <w:b/>
          <w:color w:val="0070C0"/>
          <w:sz w:val="30"/>
          <w:szCs w:val="30"/>
        </w:rPr>
        <w:t>Public School Preschool</w:t>
      </w:r>
      <w:r w:rsidR="00EF4A13">
        <w:rPr>
          <w:rFonts w:ascii="Arial" w:eastAsia="Arial" w:hAnsi="Arial" w:cs="Arial"/>
          <w:b/>
          <w:color w:val="0070C0"/>
          <w:sz w:val="30"/>
          <w:szCs w:val="30"/>
        </w:rPr>
        <w:t xml:space="preserve"> Procedure</w:t>
      </w:r>
    </w:p>
    <w:p w14:paraId="2CA29B32" w14:textId="47A7E785" w:rsidR="004014D2" w:rsidRPr="00FA4CBC" w:rsidRDefault="00D71115" w:rsidP="00300982">
      <w:pPr>
        <w:ind w:left="720" w:hanging="720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Duty of Care of</w:t>
      </w:r>
      <w:r w:rsidR="00FA4CBC" w:rsidRPr="00FA4CBC">
        <w:rPr>
          <w:rFonts w:ascii="Arial" w:eastAsia="Arial" w:hAnsi="Arial" w:cs="Arial"/>
          <w:b/>
          <w:color w:val="0070C0"/>
          <w:sz w:val="28"/>
          <w:szCs w:val="28"/>
        </w:rPr>
        <w:t xml:space="preserve"> </w:t>
      </w:r>
      <w:r w:rsidR="008868E2" w:rsidRPr="00FA4CBC">
        <w:rPr>
          <w:rFonts w:ascii="Arial" w:eastAsia="Arial" w:hAnsi="Arial" w:cs="Arial"/>
          <w:b/>
          <w:color w:val="0070C0"/>
          <w:sz w:val="28"/>
          <w:szCs w:val="28"/>
        </w:rPr>
        <w:t>Primary School Children in the Preschool</w:t>
      </w:r>
    </w:p>
    <w:p w14:paraId="75289252" w14:textId="42FD02BC" w:rsidR="00CC3307" w:rsidRPr="003219AC" w:rsidRDefault="00EF4A13" w:rsidP="00CC3307">
      <w:pPr>
        <w:ind w:left="720" w:hanging="720"/>
        <w:rPr>
          <w:rFonts w:ascii="Arial" w:hAnsi="Arial" w:cs="Arial"/>
          <w:b/>
          <w:sz w:val="20"/>
          <w:szCs w:val="24"/>
          <w:lang w:val="en-US"/>
        </w:rPr>
      </w:pPr>
      <w:r w:rsidRPr="003219AC">
        <w:rPr>
          <w:rFonts w:ascii="Arial" w:hAnsi="Arial" w:cs="Arial"/>
          <w:b/>
          <w:sz w:val="20"/>
          <w:szCs w:val="24"/>
          <w:lang w:val="en-US"/>
        </w:rPr>
        <w:t xml:space="preserve">Reviewed:  </w:t>
      </w:r>
      <w:r w:rsidR="003219AC" w:rsidRPr="003219AC">
        <w:rPr>
          <w:rFonts w:ascii="Arial" w:hAnsi="Arial" w:cs="Arial"/>
          <w:b/>
          <w:sz w:val="20"/>
          <w:szCs w:val="24"/>
          <w:lang w:val="en-US"/>
        </w:rPr>
        <w:t>March 4</w:t>
      </w:r>
      <w:r w:rsidR="003219AC" w:rsidRPr="003219AC">
        <w:rPr>
          <w:rFonts w:ascii="Arial" w:hAnsi="Arial" w:cs="Arial"/>
          <w:b/>
          <w:sz w:val="20"/>
          <w:szCs w:val="24"/>
          <w:vertAlign w:val="superscript"/>
          <w:lang w:val="en-US"/>
        </w:rPr>
        <w:t>th</w:t>
      </w:r>
      <w:proofErr w:type="gramStart"/>
      <w:r w:rsidR="009515D6" w:rsidRPr="003219AC">
        <w:rPr>
          <w:rFonts w:ascii="Arial" w:hAnsi="Arial" w:cs="Arial"/>
          <w:b/>
          <w:sz w:val="20"/>
          <w:szCs w:val="24"/>
          <w:lang w:val="en-US"/>
        </w:rPr>
        <w:t xml:space="preserve"> 2020</w:t>
      </w:r>
      <w:proofErr w:type="gramEnd"/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4394"/>
        <w:gridCol w:w="1730"/>
        <w:gridCol w:w="1672"/>
      </w:tblGrid>
      <w:tr w:rsidR="00CC3307" w:rsidRPr="00EF4A13" w14:paraId="6AA9CB28" w14:textId="77777777" w:rsidTr="51075CE6">
        <w:trPr>
          <w:trHeight w:val="120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08246BB" w14:textId="77777777" w:rsidR="00CC3307" w:rsidRPr="00EF4A13" w:rsidRDefault="00EF4A13" w:rsidP="00EF4A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 xml:space="preserve">Education and care services </w:t>
            </w:r>
            <w:r w:rsidR="00CC3307" w:rsidRPr="00EF4A13">
              <w:rPr>
                <w:rFonts w:ascii="Arial" w:hAnsi="Arial" w:cs="Arial"/>
                <w:b/>
                <w:sz w:val="24"/>
                <w:szCs w:val="24"/>
              </w:rPr>
              <w:t>regulation</w:t>
            </w:r>
            <w:r w:rsidRPr="00EF4A13">
              <w:rPr>
                <w:rFonts w:ascii="Arial" w:hAnsi="Arial" w:cs="Arial"/>
                <w:b/>
                <w:sz w:val="24"/>
                <w:szCs w:val="24"/>
              </w:rPr>
              <w:t>/s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0E03FFD" w14:textId="77777777" w:rsidR="00CC3307" w:rsidRPr="00EF4A13" w:rsidRDefault="00EF4A13" w:rsidP="00EF4A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 xml:space="preserve">NSW </w:t>
            </w:r>
            <w:r w:rsidR="00CC3307" w:rsidRPr="00EF4A13">
              <w:rPr>
                <w:rFonts w:ascii="Arial" w:hAnsi="Arial" w:cs="Arial"/>
                <w:b/>
                <w:sz w:val="24"/>
                <w:szCs w:val="24"/>
              </w:rPr>
              <w:t>Department of Education policy</w:t>
            </w:r>
            <w:r w:rsidRPr="00EF4A1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gramStart"/>
            <w:r w:rsidR="00CC3307" w:rsidRPr="00EF4A13">
              <w:rPr>
                <w:rFonts w:ascii="Arial" w:hAnsi="Arial" w:cs="Arial"/>
                <w:b/>
                <w:sz w:val="24"/>
                <w:szCs w:val="24"/>
              </w:rPr>
              <w:t>procedure</w:t>
            </w:r>
            <w:proofErr w:type="gramEnd"/>
            <w:r w:rsidRPr="00EF4A13">
              <w:rPr>
                <w:rFonts w:ascii="Arial" w:hAnsi="Arial" w:cs="Arial"/>
                <w:b/>
                <w:sz w:val="24"/>
                <w:szCs w:val="24"/>
              </w:rPr>
              <w:t xml:space="preserve"> or guidelines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6038E67" w14:textId="78E1EE70" w:rsidR="00CC3307" w:rsidRPr="00EF4A13" w:rsidRDefault="00FB6F78" w:rsidP="00FB6F78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Preschool Leadership Guidelines </w:t>
            </w:r>
            <w:r w:rsidR="00522F4D" w:rsidRPr="00EF4A13">
              <w:rPr>
                <w:rFonts w:ascii="Arial" w:eastAsia="Arial" w:hAnsi="Arial" w:cs="Arial"/>
                <w:b/>
                <w:sz w:val="24"/>
                <w:szCs w:val="24"/>
              </w:rPr>
              <w:t>reference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17AAF74" w14:textId="77777777" w:rsidR="00CC3307" w:rsidRPr="00EF4A13" w:rsidRDefault="00EF4A13" w:rsidP="00EF4A1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C3307" w:rsidRPr="00EF4A13">
              <w:rPr>
                <w:rFonts w:ascii="Arial" w:hAnsi="Arial" w:cs="Arial"/>
                <w:b/>
                <w:sz w:val="24"/>
                <w:szCs w:val="24"/>
              </w:rPr>
              <w:t>chool policy or procedure</w:t>
            </w:r>
            <w:r w:rsidRPr="00EF4A13">
              <w:rPr>
                <w:rFonts w:ascii="Arial" w:hAnsi="Arial" w:cs="Arial"/>
                <w:b/>
                <w:sz w:val="24"/>
                <w:szCs w:val="24"/>
              </w:rPr>
              <w:t>, where applicable</w:t>
            </w:r>
          </w:p>
        </w:tc>
      </w:tr>
      <w:tr w:rsidR="00365CD3" w:rsidRPr="00D61D2C" w14:paraId="5E6B0F57" w14:textId="77777777" w:rsidTr="51075CE6">
        <w:trPr>
          <w:trHeight w:val="120"/>
        </w:trPr>
        <w:tc>
          <w:tcPr>
            <w:tcW w:w="2978" w:type="dxa"/>
            <w:shd w:val="clear" w:color="auto" w:fill="FFFFFF" w:themeFill="background1"/>
          </w:tcPr>
          <w:p w14:paraId="62FEECBD" w14:textId="77777777" w:rsidR="009A03E1" w:rsidRDefault="009A03E1" w:rsidP="51075CE6">
            <w:pPr>
              <w:shd w:val="clear" w:color="auto" w:fill="FFFFFF" w:themeFill="background1"/>
              <w:spacing w:beforeAutospacing="1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</w:rPr>
            </w:pPr>
          </w:p>
          <w:p w14:paraId="27ECBD82" w14:textId="16A8C0F3" w:rsidR="1C8BF59D" w:rsidRPr="00C7401E" w:rsidRDefault="00C7401E" w:rsidP="51075CE6">
            <w:pPr>
              <w:shd w:val="clear" w:color="auto" w:fill="FFFFFF" w:themeFill="background1"/>
              <w:spacing w:beforeAutospacing="1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</w:rPr>
            </w:pPr>
            <w:hyperlink r:id="rId9" w:anchor="/view/regulation/2011/653/chap4/part4.4/div9/reg149" w:history="1">
              <w:r w:rsidRPr="00C7401E">
                <w:rPr>
                  <w:rStyle w:val="Hyperlink"/>
                  <w:rFonts w:eastAsia="Times New Roman" w:cstheme="minorHAnsi"/>
                  <w:sz w:val="24"/>
                  <w:szCs w:val="24"/>
                  <w:lang w:eastAsia="en-AU"/>
                </w:rPr>
                <w:t>Regulation 149</w:t>
              </w:r>
            </w:hyperlink>
          </w:p>
          <w:p w14:paraId="209564C8" w14:textId="214FCB9D" w:rsidR="009A03E1" w:rsidRPr="00300982" w:rsidRDefault="009A03E1" w:rsidP="009A03E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10" w:anchor="/view/regulation/2011/653/chap4/part4.4/div9/reg151" w:history="1">
              <w:r w:rsidRPr="009A03E1">
                <w:rPr>
                  <w:rStyle w:val="Hyperlink"/>
                  <w:rFonts w:eastAsia="Times New Roman" w:cstheme="minorHAnsi"/>
                  <w:spacing w:val="2"/>
                  <w:sz w:val="24"/>
                  <w:szCs w:val="24"/>
                  <w:lang w:eastAsia="en-AU"/>
                </w:rPr>
                <w:t>Reg</w:t>
              </w:r>
              <w:r w:rsidRPr="009A03E1">
                <w:rPr>
                  <w:rStyle w:val="Hyperlink"/>
                  <w:rFonts w:eastAsia="Times New Roman" w:cstheme="minorHAnsi"/>
                  <w:spacing w:val="2"/>
                  <w:sz w:val="24"/>
                  <w:szCs w:val="24"/>
                  <w:lang w:eastAsia="en-AU"/>
                </w:rPr>
                <w:t>ulation</w:t>
              </w:r>
              <w:r w:rsidRPr="009A03E1">
                <w:rPr>
                  <w:rStyle w:val="Hyperlink"/>
                  <w:rFonts w:eastAsia="Times New Roman" w:cstheme="minorHAnsi"/>
                  <w:spacing w:val="2"/>
                  <w:sz w:val="24"/>
                  <w:szCs w:val="24"/>
                  <w:lang w:eastAsia="en-AU"/>
                </w:rPr>
                <w:t xml:space="preserve"> 151</w:t>
              </w:r>
            </w:hyperlink>
          </w:p>
          <w:p w14:paraId="68CCECEB" w14:textId="35AC8E2A" w:rsidR="009A03E1" w:rsidRPr="00300982" w:rsidRDefault="009A03E1" w:rsidP="009A03E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</w:pPr>
            <w:hyperlink r:id="rId11" w:anchor="/view/regulation/2011/653/chap7/part7.3/div2/reg271" w:history="1">
              <w:r w:rsidRPr="009A03E1">
                <w:rPr>
                  <w:rStyle w:val="Hyperlink"/>
                  <w:rFonts w:eastAsia="Times New Roman" w:cstheme="minorHAnsi"/>
                  <w:spacing w:val="2"/>
                  <w:sz w:val="24"/>
                  <w:szCs w:val="24"/>
                  <w:lang w:eastAsia="en-AU"/>
                </w:rPr>
                <w:t>Reg</w:t>
              </w:r>
              <w:r w:rsidRPr="009A03E1">
                <w:rPr>
                  <w:rStyle w:val="Hyperlink"/>
                  <w:rFonts w:eastAsia="Times New Roman" w:cstheme="minorHAnsi"/>
                  <w:spacing w:val="2"/>
                  <w:sz w:val="24"/>
                  <w:szCs w:val="24"/>
                  <w:lang w:eastAsia="en-AU"/>
                </w:rPr>
                <w:t>ulation</w:t>
              </w:r>
              <w:r w:rsidRPr="009A03E1">
                <w:rPr>
                  <w:rStyle w:val="Hyperlink"/>
                  <w:rFonts w:eastAsia="Times New Roman" w:cstheme="minorHAnsi"/>
                  <w:spacing w:val="2"/>
                  <w:sz w:val="24"/>
                  <w:szCs w:val="24"/>
                  <w:lang w:eastAsia="en-AU"/>
                </w:rPr>
                <w:t xml:space="preserve"> 271</w:t>
              </w:r>
            </w:hyperlink>
          </w:p>
          <w:p w14:paraId="1A125ECD" w14:textId="77777777" w:rsidR="00EF4A13" w:rsidRPr="00300982" w:rsidRDefault="00EF4A13" w:rsidP="000C32D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</w:pPr>
          </w:p>
          <w:p w14:paraId="4DCB9326" w14:textId="77777777" w:rsidR="00365CD3" w:rsidRPr="00300982" w:rsidRDefault="00365CD3" w:rsidP="007306D0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D1E29EB" w14:textId="11E14BC9" w:rsidR="002C6393" w:rsidRPr="00300982" w:rsidRDefault="00060CC8" w:rsidP="51075CE6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pacing w:val="2"/>
                <w:sz w:val="24"/>
                <w:szCs w:val="24"/>
                <w:lang w:eastAsia="en-AU"/>
              </w:rPr>
            </w:pPr>
            <w:r w:rsidRPr="00300982"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  <w:t xml:space="preserve">The following department policies and relevant documents can be accessed from the </w:t>
            </w:r>
            <w:r w:rsidR="7C5E42B0" w:rsidRPr="00300982">
              <w:rPr>
                <w:rFonts w:eastAsia="Times New Roman" w:cstheme="minorHAnsi"/>
                <w:color w:val="000000" w:themeColor="text1"/>
                <w:spacing w:val="2"/>
                <w:sz w:val="24"/>
                <w:szCs w:val="24"/>
                <w:lang w:eastAsia="en-AU"/>
              </w:rPr>
              <w:t xml:space="preserve">Early Learning </w:t>
            </w:r>
            <w:r w:rsidR="002C6393" w:rsidRPr="00300982">
              <w:rPr>
                <w:rFonts w:eastAsia="Times New Roman" w:cstheme="minorHAnsi"/>
                <w:color w:val="000000" w:themeColor="text1"/>
                <w:spacing w:val="2"/>
                <w:sz w:val="24"/>
                <w:szCs w:val="24"/>
                <w:lang w:eastAsia="en-AU"/>
              </w:rPr>
              <w:t>section of the</w:t>
            </w:r>
            <w:r w:rsidR="002C207A" w:rsidRPr="00300982">
              <w:rPr>
                <w:rFonts w:eastAsia="Times New Roman" w:cstheme="minorHAnsi"/>
                <w:color w:val="000000" w:themeColor="text1"/>
                <w:spacing w:val="2"/>
                <w:sz w:val="24"/>
                <w:szCs w:val="24"/>
                <w:lang w:eastAsia="en-AU"/>
              </w:rPr>
              <w:t xml:space="preserve"> DoE intranet:</w:t>
            </w:r>
          </w:p>
          <w:p w14:paraId="493AF097" w14:textId="77777777" w:rsidR="002C6393" w:rsidRPr="00300982" w:rsidRDefault="00692308" w:rsidP="00060CC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pacing w:val="2"/>
                <w:sz w:val="24"/>
                <w:szCs w:val="24"/>
                <w:lang w:eastAsia="en-AU"/>
              </w:rPr>
            </w:pPr>
            <w:hyperlink r:id="rId12" w:history="1">
              <w:r w:rsidR="002C6393" w:rsidRPr="00300982">
                <w:rPr>
                  <w:rStyle w:val="Hyperlink"/>
                  <w:rFonts w:eastAsia="Times New Roman" w:cstheme="minorHAnsi"/>
                  <w:spacing w:val="2"/>
                  <w:sz w:val="24"/>
                  <w:szCs w:val="24"/>
                  <w:lang w:eastAsia="en-AU"/>
                </w:rPr>
                <w:t>Code of Conduct</w:t>
              </w:r>
            </w:hyperlink>
            <w:r w:rsidR="002C6393" w:rsidRPr="00300982">
              <w:rPr>
                <w:rFonts w:eastAsia="Times New Roman" w:cstheme="minorHAnsi"/>
                <w:color w:val="000000" w:themeColor="text1"/>
                <w:spacing w:val="2"/>
                <w:sz w:val="24"/>
                <w:szCs w:val="24"/>
                <w:lang w:eastAsia="en-AU"/>
              </w:rPr>
              <w:t xml:space="preserve"> (pdf 840.95 KB)</w:t>
            </w:r>
          </w:p>
          <w:p w14:paraId="1BAD3AFD" w14:textId="6F707885" w:rsidR="391231CA" w:rsidRPr="00C7401E" w:rsidRDefault="391231CA" w:rsidP="51075CE6">
            <w:pPr>
              <w:shd w:val="clear" w:color="auto" w:fill="FFFFFF" w:themeFill="background1"/>
              <w:spacing w:beforeAutospacing="1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</w:rPr>
            </w:pPr>
            <w:r w:rsidRPr="00C7401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</w:rPr>
              <w:t xml:space="preserve">Working with children Check policy </w:t>
            </w:r>
          </w:p>
          <w:p w14:paraId="658EAC2B" w14:textId="2CD323ED" w:rsidR="391231CA" w:rsidRPr="00C7401E" w:rsidRDefault="391231CA" w:rsidP="51075CE6">
            <w:pPr>
              <w:shd w:val="clear" w:color="auto" w:fill="FFFFFF" w:themeFill="background1"/>
              <w:spacing w:beforeAutospacing="1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</w:rPr>
            </w:pPr>
            <w:r w:rsidRPr="00C7401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AU"/>
              </w:rPr>
              <w:t xml:space="preserve">Management of Conduct and Performance </w:t>
            </w:r>
          </w:p>
          <w:p w14:paraId="752CB0FC" w14:textId="77777777" w:rsidR="00365CD3" w:rsidRPr="00300982" w:rsidRDefault="00365CD3" w:rsidP="002C6393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pacing w:val="2"/>
                <w:sz w:val="24"/>
                <w:szCs w:val="24"/>
                <w:lang w:eastAsia="en-AU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4E8EB579" w14:textId="77777777" w:rsidR="00365CD3" w:rsidRPr="00300982" w:rsidRDefault="00365CD3" w:rsidP="000F2BCD">
            <w:pPr>
              <w:rPr>
                <w:rFonts w:cstheme="minorHAnsi"/>
                <w:sz w:val="24"/>
                <w:szCs w:val="24"/>
              </w:rPr>
            </w:pPr>
          </w:p>
          <w:p w14:paraId="232DB1DA" w14:textId="73AC1C3F" w:rsidR="00337A7C" w:rsidRPr="00300982" w:rsidRDefault="002C207A" w:rsidP="00FB6F78">
            <w:pPr>
              <w:rPr>
                <w:rFonts w:cstheme="minorHAnsi"/>
                <w:sz w:val="24"/>
                <w:szCs w:val="24"/>
              </w:rPr>
            </w:pPr>
            <w:r w:rsidRPr="00300982">
              <w:rPr>
                <w:rFonts w:cstheme="minorHAnsi"/>
                <w:sz w:val="24"/>
                <w:szCs w:val="24"/>
              </w:rPr>
              <w:t xml:space="preserve"> Page </w:t>
            </w:r>
            <w:r w:rsidRPr="00DB069A">
              <w:rPr>
                <w:rFonts w:cstheme="minorHAnsi"/>
                <w:color w:val="000000" w:themeColor="text1"/>
                <w:sz w:val="24"/>
                <w:szCs w:val="24"/>
              </w:rPr>
              <w:t>62</w:t>
            </w:r>
            <w:r w:rsidR="1A7619F2" w:rsidRPr="00DB069A">
              <w:rPr>
                <w:rFonts w:cstheme="minorHAnsi"/>
                <w:color w:val="000000" w:themeColor="text1"/>
                <w:sz w:val="24"/>
                <w:szCs w:val="24"/>
              </w:rPr>
              <w:t>, 63</w:t>
            </w:r>
          </w:p>
        </w:tc>
        <w:tc>
          <w:tcPr>
            <w:tcW w:w="1672" w:type="dxa"/>
            <w:shd w:val="clear" w:color="auto" w:fill="FFFFFF" w:themeFill="background1"/>
          </w:tcPr>
          <w:p w14:paraId="34070990" w14:textId="0D2146E0" w:rsidR="00CE0898" w:rsidRPr="00300982" w:rsidRDefault="009515D6" w:rsidP="00CC33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00982">
              <w:rPr>
                <w:rFonts w:cstheme="minorHAnsi"/>
                <w:sz w:val="24"/>
                <w:szCs w:val="24"/>
              </w:rPr>
              <w:t>Splitting classes</w:t>
            </w:r>
          </w:p>
          <w:p w14:paraId="50A8C73B" w14:textId="68A17B89" w:rsidR="009515D6" w:rsidRPr="00300982" w:rsidRDefault="009515D6" w:rsidP="00CC33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00982">
              <w:rPr>
                <w:rFonts w:cstheme="minorHAnsi"/>
                <w:sz w:val="24"/>
                <w:szCs w:val="24"/>
              </w:rPr>
              <w:t>Excursions</w:t>
            </w:r>
          </w:p>
          <w:p w14:paraId="160D201F" w14:textId="26FFFE4A" w:rsidR="009515D6" w:rsidRPr="00300982" w:rsidRDefault="009515D6" w:rsidP="00CC33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00982">
              <w:rPr>
                <w:rFonts w:cstheme="minorHAnsi"/>
                <w:sz w:val="24"/>
                <w:szCs w:val="24"/>
              </w:rPr>
              <w:t>Behaviour management strategy</w:t>
            </w:r>
          </w:p>
          <w:p w14:paraId="24334858" w14:textId="47731103" w:rsidR="009515D6" w:rsidRPr="00300982" w:rsidRDefault="009515D6" w:rsidP="00CC33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00982">
              <w:rPr>
                <w:rFonts w:cstheme="minorHAnsi"/>
                <w:sz w:val="24"/>
                <w:szCs w:val="24"/>
              </w:rPr>
              <w:t>School events (swimming carnival, etc.)</w:t>
            </w:r>
          </w:p>
        </w:tc>
      </w:tr>
      <w:tr w:rsidR="00CC3307" w:rsidRPr="004B0772" w14:paraId="232927EB" w14:textId="77777777" w:rsidTr="51075CE6">
        <w:trPr>
          <w:trHeight w:val="120"/>
        </w:trPr>
        <w:tc>
          <w:tcPr>
            <w:tcW w:w="10774" w:type="dxa"/>
            <w:gridSpan w:val="4"/>
            <w:shd w:val="clear" w:color="auto" w:fill="FFFFFF" w:themeFill="background1"/>
          </w:tcPr>
          <w:p w14:paraId="4C385F5C" w14:textId="2EED9BAC" w:rsidR="004C5D9C" w:rsidRPr="00BB18B8" w:rsidRDefault="00C63483" w:rsidP="008868E2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Ratios</w:t>
            </w:r>
            <w:r w:rsidR="007A06A6" w:rsidRPr="00BB18B8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29AF35B3" w14:textId="2239D8A3" w:rsidR="00C63483" w:rsidRPr="00BB18B8" w:rsidRDefault="00C63483" w:rsidP="008868E2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>The preschoo</w:t>
            </w:r>
            <w:r w:rsidR="004C5D9C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l must maintain a </w:t>
            </w:r>
            <w:r w:rsidR="004C5D9C" w:rsidRPr="00BB18B8">
              <w:rPr>
                <w:rFonts w:cstheme="minorHAnsi"/>
                <w:b/>
                <w:color w:val="000000" w:themeColor="text1"/>
                <w:sz w:val="24"/>
                <w:szCs w:val="24"/>
              </w:rPr>
              <w:t>ratio of 1:10</w:t>
            </w:r>
            <w:r w:rsidR="004C5D9C" w:rsidRPr="00BB18B8">
              <w:rPr>
                <w:rFonts w:cstheme="minorHAnsi"/>
                <w:color w:val="000000" w:themeColor="text1"/>
                <w:sz w:val="24"/>
                <w:szCs w:val="24"/>
              </w:rPr>
              <w:t>. If classes need to be split w</w:t>
            </w:r>
            <w:r w:rsidR="000E623F" w:rsidRPr="00BB18B8">
              <w:rPr>
                <w:rFonts w:cstheme="minorHAnsi"/>
                <w:color w:val="000000" w:themeColor="text1"/>
                <w:sz w:val="24"/>
                <w:szCs w:val="24"/>
              </w:rPr>
              <w:t>ithin the K-6</w:t>
            </w:r>
            <w:r w:rsidR="004C5D9C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school</w:t>
            </w:r>
            <w:r w:rsidR="00BB18B8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4C5D9C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1:10 ratio must be maintained. For example, if there are 15 children in attendance in the preschool, up to 5 K</w:t>
            </w:r>
            <w:r w:rsidR="00C86B51" w:rsidRPr="00BB18B8">
              <w:rPr>
                <w:rFonts w:cstheme="minorHAnsi"/>
                <w:color w:val="000000" w:themeColor="text1"/>
                <w:sz w:val="24"/>
                <w:szCs w:val="24"/>
              </w:rPr>
              <w:t>indergarten</w:t>
            </w:r>
            <w:r w:rsidR="004C5D9C" w:rsidRPr="00BB18B8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C86B51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Year </w:t>
            </w:r>
            <w:r w:rsidR="004C5D9C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6 children from the school can be in the preschool under the care of the preschool educators. </w:t>
            </w:r>
          </w:p>
          <w:p w14:paraId="433FFE16" w14:textId="4BB824EE" w:rsidR="000D40DB" w:rsidRPr="00BB18B8" w:rsidRDefault="004C5D9C" w:rsidP="00DC5F78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If </w:t>
            </w:r>
            <w:r w:rsidR="00DC5F78" w:rsidRPr="00BB18B8">
              <w:rPr>
                <w:rFonts w:cstheme="minorHAnsi"/>
                <w:color w:val="000000" w:themeColor="text1"/>
                <w:sz w:val="24"/>
                <w:szCs w:val="24"/>
              </w:rPr>
              <w:t>school staff members are on relief</w:t>
            </w: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duty in the preschool and there are 20 children already in attendanc</w:t>
            </w:r>
            <w:r w:rsidR="000D40DB" w:rsidRPr="00BB18B8">
              <w:rPr>
                <w:rFonts w:cstheme="minorHAnsi"/>
                <w:color w:val="000000" w:themeColor="text1"/>
                <w:sz w:val="24"/>
                <w:szCs w:val="24"/>
              </w:rPr>
              <w:t>e, then no other child may enter</w:t>
            </w:r>
            <w:r w:rsidR="00DC5F78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preschool</w:t>
            </w:r>
            <w:r w:rsidR="002C207A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classroom area</w:t>
            </w:r>
            <w:r w:rsidR="00DC5F78" w:rsidRPr="00BB18B8">
              <w:rPr>
                <w:rFonts w:cstheme="minorHAnsi"/>
                <w:color w:val="000000" w:themeColor="text1"/>
                <w:sz w:val="24"/>
                <w:szCs w:val="24"/>
              </w:rPr>
              <w:t>, as a 1:10 ratio must be maintained.</w:t>
            </w:r>
            <w:r w:rsidR="00994FED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D40DB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If additional children arrive in the preschool from the primary school, they will be placed in the preschool staffroom where staff can visually supervise them until alternative arrangements can be made. </w:t>
            </w:r>
          </w:p>
          <w:p w14:paraId="7DF996DA" w14:textId="4FBB3F98" w:rsidR="00DC5F78" w:rsidRPr="00BB18B8" w:rsidRDefault="00994FED" w:rsidP="00DC5F78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Additional staff from the </w:t>
            </w:r>
            <w:r w:rsidR="000D40DB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primary school </w:t>
            </w:r>
            <w:proofErr w:type="gramStart"/>
            <w:r w:rsidR="000D40DB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may be </w:t>
            </w: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required to maintain ratio </w:t>
            </w:r>
            <w:r w:rsidR="000D40DB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of 1:10 </w:t>
            </w: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>at all times</w:t>
            </w:r>
            <w:proofErr w:type="gramEnd"/>
            <w:r w:rsidR="000D40DB" w:rsidRPr="00BB18B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5D838448" w14:textId="4693948F" w:rsidR="002C207A" w:rsidRPr="00BB18B8" w:rsidRDefault="002C207A" w:rsidP="00DC5F78">
            <w:pPr>
              <w:spacing w:before="100" w:beforeAutospacing="1" w:after="100" w:afterAutospacing="1" w:line="240" w:lineRule="auto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A common-sense approach to which children from K-6 are selected to spend time in the preschool is taken and the safety, wellbeing and education of all children is a priority. </w:t>
            </w:r>
          </w:p>
          <w:p w14:paraId="773F43F4" w14:textId="4D63EC8B" w:rsidR="004C5D9C" w:rsidRPr="00BB18B8" w:rsidRDefault="004C5D9C" w:rsidP="008868E2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Buddy Classes</w:t>
            </w:r>
            <w:r w:rsidR="00BB18B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/Educational Programs</w:t>
            </w:r>
            <w:r w:rsidRPr="00BB18B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in the Preschool</w:t>
            </w:r>
            <w:r w:rsidR="007A06A6" w:rsidRPr="00BB18B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511EDCAE" w14:textId="1A544450" w:rsidR="004C5D9C" w:rsidRPr="00BB18B8" w:rsidRDefault="004C5D9C" w:rsidP="008868E2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If there is a supervised lesson/activity </w:t>
            </w:r>
            <w:r w:rsidR="00C438C4" w:rsidRPr="00BB18B8">
              <w:rPr>
                <w:rFonts w:cstheme="minorHAnsi"/>
                <w:color w:val="000000" w:themeColor="text1"/>
                <w:sz w:val="24"/>
                <w:szCs w:val="24"/>
              </w:rPr>
              <w:t>with a buddy class</w:t>
            </w:r>
            <w:r w:rsid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and/or a selection of students</w:t>
            </w:r>
            <w:r w:rsidR="00C438C4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from the school, then</w:t>
            </w:r>
            <w:r w:rsid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either</w:t>
            </w:r>
            <w:r w:rsidR="00C438C4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classroom </w:t>
            </w:r>
            <w:r w:rsidR="00BB18B8">
              <w:rPr>
                <w:rFonts w:cstheme="minorHAnsi"/>
                <w:color w:val="000000" w:themeColor="text1"/>
                <w:sz w:val="24"/>
                <w:szCs w:val="24"/>
              </w:rPr>
              <w:t>or supervising teacher</w:t>
            </w:r>
            <w:r w:rsidR="00C438C4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from the buddy class </w:t>
            </w:r>
            <w:proofErr w:type="gramStart"/>
            <w:r w:rsidR="00CE0898" w:rsidRPr="00BB18B8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must be present</w:t>
            </w:r>
            <w:r w:rsidR="00C438C4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in the preschool grounds at all times</w:t>
            </w:r>
            <w:proofErr w:type="gramEnd"/>
            <w:r w:rsidR="00C438C4" w:rsidRPr="00BB18B8">
              <w:rPr>
                <w:rFonts w:cstheme="minorHAnsi"/>
                <w:color w:val="000000" w:themeColor="text1"/>
                <w:sz w:val="24"/>
                <w:szCs w:val="24"/>
              </w:rPr>
              <w:t>. The classr</w:t>
            </w:r>
            <w:r w:rsidR="00DC5F78" w:rsidRPr="00BB18B8">
              <w:rPr>
                <w:rFonts w:cstheme="minorHAnsi"/>
                <w:color w:val="000000" w:themeColor="text1"/>
                <w:sz w:val="24"/>
                <w:szCs w:val="24"/>
              </w:rPr>
              <w:t>oom teacher must sign the ‘volunteer/visitor</w:t>
            </w:r>
            <w:r w:rsidR="00C438C4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’ register when entering and leaving the preschool. If this activity </w:t>
            </w:r>
            <w:r w:rsidR="006D75B0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is </w:t>
            </w:r>
            <w:r w:rsidR="00C438C4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on-going </w:t>
            </w:r>
            <w:r w:rsidR="00FA4CBC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and </w:t>
            </w:r>
            <w:r w:rsidR="00C438C4" w:rsidRPr="00BB18B8">
              <w:rPr>
                <w:rFonts w:cstheme="minorHAnsi"/>
                <w:color w:val="000000" w:themeColor="text1"/>
                <w:sz w:val="24"/>
                <w:szCs w:val="24"/>
              </w:rPr>
              <w:t>regular</w:t>
            </w:r>
            <w:r w:rsidR="000116CB" w:rsidRPr="00BB18B8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6D75B0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438C4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then the staff member’s </w:t>
            </w:r>
            <w:r w:rsidR="00FA4CBC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qualifications must be in a staff folder in the preschool. These qualifications </w:t>
            </w:r>
            <w:proofErr w:type="gramStart"/>
            <w:r w:rsidR="00FA4CBC" w:rsidRPr="00BB18B8">
              <w:rPr>
                <w:rFonts w:cstheme="minorHAnsi"/>
                <w:color w:val="000000" w:themeColor="text1"/>
                <w:sz w:val="24"/>
                <w:szCs w:val="24"/>
              </w:rPr>
              <w:t>are</w:t>
            </w:r>
            <w:r w:rsidR="006D75B0" w:rsidRPr="00BB18B8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2804CE90" w14:textId="3E8C3F7B" w:rsidR="00FA4CBC" w:rsidRPr="00BB18B8" w:rsidRDefault="00FA4CBC" w:rsidP="00FA4CB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>Working with children check clearance</w:t>
            </w:r>
            <w:r w:rsidR="00DC5F78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A0900" w:rsidRPr="00BB18B8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DC5F78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verified</w:t>
            </w:r>
          </w:p>
          <w:p w14:paraId="711C777C" w14:textId="6868242D" w:rsidR="00AA0900" w:rsidRPr="00BB18B8" w:rsidRDefault="00AA0900" w:rsidP="00FA4CB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>Teaching qualifications</w:t>
            </w:r>
          </w:p>
          <w:p w14:paraId="5B752B80" w14:textId="77777777" w:rsidR="00FA4CBC" w:rsidRPr="00BB18B8" w:rsidRDefault="00FA4CBC" w:rsidP="00FA4CB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>Annual child protection update</w:t>
            </w:r>
          </w:p>
          <w:p w14:paraId="3912A864" w14:textId="77777777" w:rsidR="00FA4CBC" w:rsidRPr="00BB18B8" w:rsidRDefault="00FA4CBC" w:rsidP="00FA4CB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>Annual Code of Conduct training</w:t>
            </w:r>
          </w:p>
          <w:p w14:paraId="1BD2C478" w14:textId="726D90CE" w:rsidR="00FA4CBC" w:rsidRPr="00BB18B8" w:rsidRDefault="00FA4CBC" w:rsidP="00FA4CBC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Mandatory first aid qualifications</w:t>
            </w:r>
          </w:p>
          <w:p w14:paraId="3527DB24" w14:textId="14011610" w:rsidR="006D75B0" w:rsidRPr="00BB18B8" w:rsidRDefault="002C207A" w:rsidP="008868E2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T</w:t>
            </w:r>
            <w:r w:rsidR="006D75B0" w:rsidRPr="00BB18B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he Early Years Learning Fram</w:t>
            </w:r>
            <w:r w:rsidRPr="00BB18B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ework (EYLF) has five outcomes</w:t>
            </w:r>
            <w:r w:rsidR="007A06A6" w:rsidRPr="00BB18B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550EB50A" w14:textId="77777777" w:rsidR="006D75B0" w:rsidRPr="00BB18B8" w:rsidRDefault="006D75B0" w:rsidP="006D75B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i/>
                <w:color w:val="000000" w:themeColor="text1"/>
                <w:sz w:val="24"/>
                <w:szCs w:val="24"/>
              </w:rPr>
              <w:t>Children have a strong sense of identify</w:t>
            </w:r>
          </w:p>
          <w:p w14:paraId="30442CFB" w14:textId="77777777" w:rsidR="006D75B0" w:rsidRPr="00BB18B8" w:rsidRDefault="006D75B0" w:rsidP="006D75B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Children </w:t>
            </w:r>
            <w:proofErr w:type="gramStart"/>
            <w:r w:rsidRPr="00BB18B8">
              <w:rPr>
                <w:rFonts w:cstheme="minorHAnsi"/>
                <w:i/>
                <w:color w:val="000000" w:themeColor="text1"/>
                <w:sz w:val="24"/>
                <w:szCs w:val="24"/>
              </w:rPr>
              <w:t>are connected with</w:t>
            </w:r>
            <w:proofErr w:type="gramEnd"/>
            <w:r w:rsidRPr="00BB18B8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and contribute to their world</w:t>
            </w:r>
          </w:p>
          <w:p w14:paraId="427E65B0" w14:textId="77777777" w:rsidR="006D75B0" w:rsidRPr="00BB18B8" w:rsidRDefault="006D75B0" w:rsidP="006D75B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i/>
                <w:color w:val="000000" w:themeColor="text1"/>
                <w:sz w:val="24"/>
                <w:szCs w:val="24"/>
              </w:rPr>
              <w:t>Children have a strong sense of wellbeing</w:t>
            </w:r>
          </w:p>
          <w:p w14:paraId="060FD5E0" w14:textId="77777777" w:rsidR="006D75B0" w:rsidRPr="00BB18B8" w:rsidRDefault="006D75B0" w:rsidP="006D75B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i/>
                <w:color w:val="000000" w:themeColor="text1"/>
                <w:sz w:val="24"/>
                <w:szCs w:val="24"/>
              </w:rPr>
              <w:t>Children are confident and involved learners</w:t>
            </w:r>
          </w:p>
          <w:p w14:paraId="288CAA0C" w14:textId="77777777" w:rsidR="006D75B0" w:rsidRPr="00BB18B8" w:rsidRDefault="006D75B0" w:rsidP="006D75B0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i/>
                <w:color w:val="000000" w:themeColor="text1"/>
                <w:sz w:val="24"/>
                <w:szCs w:val="24"/>
              </w:rPr>
              <w:t>Children are effective communicators</w:t>
            </w:r>
          </w:p>
          <w:p w14:paraId="6D5CF822" w14:textId="61D12380" w:rsidR="00DC5F78" w:rsidRPr="00BB18B8" w:rsidRDefault="006D75B0" w:rsidP="00DC5F78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The learning content from the buddy classes are based on the preschool educators using their professional judgement </w:t>
            </w:r>
            <w:r w:rsidR="000116CB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to make curriculum decisions. This is to ensure </w:t>
            </w: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children </w:t>
            </w:r>
            <w:r w:rsidR="000116CB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in the preschool </w:t>
            </w:r>
            <w:r w:rsidR="00414F25" w:rsidRPr="00BB18B8">
              <w:rPr>
                <w:rFonts w:cstheme="minorHAnsi"/>
                <w:color w:val="000000" w:themeColor="text1"/>
                <w:sz w:val="24"/>
                <w:szCs w:val="24"/>
              </w:rPr>
              <w:t>are immersed in</w:t>
            </w: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au</w:t>
            </w:r>
            <w:r w:rsidR="006E794A" w:rsidRPr="00BB18B8">
              <w:rPr>
                <w:rFonts w:cstheme="minorHAnsi"/>
                <w:color w:val="000000" w:themeColor="text1"/>
                <w:sz w:val="24"/>
                <w:szCs w:val="24"/>
              </w:rPr>
              <w:t>thentic learning experiences which are based on</w:t>
            </w:r>
            <w:r w:rsidR="000116CB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EYLF outcomes and children’s interests. These learning experiences should not exceed over 1 hour in the preschool as children from the buddy class need to continue with their normal program.</w:t>
            </w:r>
            <w:r w:rsidR="00DC5F78" w:rsidRPr="00BB18B8">
              <w:rPr>
                <w:rFonts w:cstheme="minorHAnsi"/>
              </w:rPr>
              <w:t xml:space="preserve"> </w:t>
            </w:r>
          </w:p>
          <w:p w14:paraId="21C1E0EB" w14:textId="332C8548" w:rsidR="000116CB" w:rsidRPr="00BB18B8" w:rsidRDefault="000116CB" w:rsidP="006D75B0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Children with medical conditions</w:t>
            </w:r>
            <w:r w:rsidR="007A06A6" w:rsidRPr="00BB18B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25DE5437" w14:textId="77777777" w:rsidR="000116CB" w:rsidRPr="00BB18B8" w:rsidRDefault="000116CB" w:rsidP="006D75B0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>A medical condition is defined as a condition diagnosed by a registered practitioner. This may include but not limited to</w:t>
            </w:r>
          </w:p>
          <w:p w14:paraId="5D518856" w14:textId="77777777" w:rsidR="000116CB" w:rsidRPr="00BB18B8" w:rsidRDefault="000116CB" w:rsidP="000116CB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>Anaphylaxis</w:t>
            </w:r>
          </w:p>
          <w:p w14:paraId="1BE83A97" w14:textId="77777777" w:rsidR="000116CB" w:rsidRPr="00BB18B8" w:rsidRDefault="000116CB" w:rsidP="000116CB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>Severe asthma</w:t>
            </w:r>
          </w:p>
          <w:p w14:paraId="371C632F" w14:textId="77777777" w:rsidR="000116CB" w:rsidRPr="00BB18B8" w:rsidRDefault="000116CB" w:rsidP="000116CB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Epilepsy </w:t>
            </w:r>
          </w:p>
          <w:p w14:paraId="5715E1FB" w14:textId="77777777" w:rsidR="000116CB" w:rsidRPr="00BB18B8" w:rsidRDefault="000116CB" w:rsidP="000116CB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>Diabetes</w:t>
            </w:r>
          </w:p>
          <w:p w14:paraId="7D8B4733" w14:textId="77777777" w:rsidR="000116CB" w:rsidRPr="00BB18B8" w:rsidRDefault="000116CB" w:rsidP="000116CB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>Food allergy</w:t>
            </w:r>
          </w:p>
          <w:p w14:paraId="63377ABE" w14:textId="4BD42DCE" w:rsidR="000116CB" w:rsidRPr="00BB18B8" w:rsidRDefault="000116CB" w:rsidP="000116CB">
            <w:pPr>
              <w:spacing w:before="100" w:beforeAutospacing="1" w:after="100" w:afterAutospacing="1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>If a child from a buddy c</w:t>
            </w:r>
            <w:r w:rsidR="00E52367" w:rsidRPr="00BB18B8">
              <w:rPr>
                <w:rFonts w:cstheme="minorHAnsi"/>
                <w:color w:val="000000" w:themeColor="text1"/>
                <w:sz w:val="24"/>
                <w:szCs w:val="24"/>
              </w:rPr>
              <w:t>lass requires medication</w:t>
            </w:r>
            <w:r w:rsidR="00DC5F78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>then the classroom tea</w:t>
            </w:r>
            <w:r w:rsidR="00E52367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cher </w:t>
            </w:r>
            <w:r w:rsidR="00BE18F3" w:rsidRPr="00BB18B8">
              <w:rPr>
                <w:rFonts w:cstheme="minorHAnsi"/>
                <w:color w:val="000000" w:themeColor="text1"/>
                <w:sz w:val="24"/>
                <w:szCs w:val="24"/>
              </w:rPr>
              <w:t>is responsible for making the child’s medication available in preschool if required.</w:t>
            </w:r>
            <w:r w:rsidR="00DC5F78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For example, a child’s </w:t>
            </w:r>
            <w:r w:rsidR="00DB069A" w:rsidRPr="00BB18B8">
              <w:rPr>
                <w:rFonts w:cstheme="minorHAnsi"/>
                <w:color w:val="000000" w:themeColor="text1"/>
                <w:sz w:val="24"/>
                <w:szCs w:val="24"/>
              </w:rPr>
              <w:t>EpiPen</w:t>
            </w:r>
            <w:r w:rsidR="00DC5F78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or asthma medication. </w:t>
            </w:r>
            <w:r w:rsidR="00BB18B8" w:rsidRPr="00BB18B8">
              <w:rPr>
                <w:rFonts w:cstheme="minorHAnsi"/>
                <w:color w:val="000000" w:themeColor="text1"/>
                <w:sz w:val="24"/>
                <w:szCs w:val="24"/>
              </w:rPr>
              <w:t>It is the class teacher’s responsibility to communicate the needs of the students and arrange for medication to be kept with the child.</w:t>
            </w:r>
          </w:p>
          <w:p w14:paraId="626CB7BE" w14:textId="4DDD1BA3" w:rsidR="00E52367" w:rsidRPr="00BB18B8" w:rsidRDefault="00E52367" w:rsidP="000116CB">
            <w:pPr>
              <w:spacing w:before="100" w:beforeAutospacing="1" w:after="100" w:afterAutospacing="1" w:line="240" w:lineRule="auto"/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Immunisation</w:t>
            </w:r>
            <w:r w:rsidR="007A06A6" w:rsidRPr="0069230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:</w:t>
            </w:r>
            <w:r w:rsidRPr="0069230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390F7B67" w14:textId="2E1C153F" w:rsidR="00BB18B8" w:rsidRDefault="00146214" w:rsidP="000116CB">
            <w:pPr>
              <w:spacing w:before="100" w:beforeAutospacing="1" w:after="100" w:afterAutospacing="1" w:line="240" w:lineRule="auto"/>
              <w:rPr>
                <w:rStyle w:val="Hyperlink"/>
                <w:rFonts w:cstheme="minorHAnsi"/>
                <w:sz w:val="24"/>
                <w:szCs w:val="24"/>
              </w:rPr>
            </w:pP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="00612A30" w:rsidRPr="00BB18B8">
              <w:rPr>
                <w:rFonts w:cstheme="minorHAnsi"/>
                <w:color w:val="000000" w:themeColor="text1"/>
                <w:sz w:val="24"/>
                <w:szCs w:val="24"/>
              </w:rPr>
              <w:t>hildren enrolled in</w:t>
            </w:r>
            <w:r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a</w:t>
            </w:r>
            <w:r w:rsidR="00612A30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preschool </w:t>
            </w:r>
            <w:r w:rsidR="00612A30" w:rsidRPr="00BB18B8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must</w:t>
            </w:r>
            <w:r w:rsidR="00612A30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be immunised.</w:t>
            </w:r>
            <w:r w:rsidR="00414F25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Therefo</w:t>
            </w:r>
            <w:r w:rsidR="00612A30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re, it is </w:t>
            </w:r>
            <w:r w:rsidR="00612A30" w:rsidRPr="00BB18B8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best practice</w:t>
            </w:r>
            <w:r w:rsidR="00612A30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for </w:t>
            </w:r>
            <w:r w:rsidR="00414F25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children from buddy classes </w:t>
            </w:r>
            <w:r w:rsidR="00612A30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to be immunised to enter the preschool and interact with the preschool children. </w:t>
            </w:r>
            <w:r w:rsidR="00414F25" w:rsidRPr="00BB18B8">
              <w:rPr>
                <w:rFonts w:cstheme="minorHAnsi"/>
                <w:color w:val="000000" w:themeColor="text1"/>
                <w:sz w:val="24"/>
                <w:szCs w:val="24"/>
              </w:rPr>
              <w:t xml:space="preserve"> Please refer to the </w:t>
            </w:r>
            <w:hyperlink r:id="rId13" w:history="1">
              <w:r w:rsidR="00414F25" w:rsidRPr="00BB18B8">
                <w:rPr>
                  <w:rStyle w:val="Hyperlink"/>
                  <w:rFonts w:cstheme="minorHAnsi"/>
                  <w:sz w:val="24"/>
                  <w:szCs w:val="24"/>
                </w:rPr>
                <w:t>Immunisation Enrolment Toolkit: For Early Childhood Education and Care Services.</w:t>
              </w:r>
            </w:hyperlink>
          </w:p>
          <w:p w14:paraId="79D2B2FA" w14:textId="77777777" w:rsidR="00AC2C02" w:rsidRPr="00BB18B8" w:rsidRDefault="00AC2C02" w:rsidP="0069230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pacing w:val="12"/>
                <w:sz w:val="27"/>
                <w:szCs w:val="27"/>
                <w:lang w:val="en" w:eastAsia="en-AU"/>
              </w:rPr>
            </w:pPr>
          </w:p>
        </w:tc>
      </w:tr>
    </w:tbl>
    <w:p w14:paraId="7CED2906" w14:textId="77777777" w:rsidR="000C32DE" w:rsidRPr="004B0772" w:rsidRDefault="000C32DE" w:rsidP="00EF4A13">
      <w:pPr>
        <w:spacing w:after="0" w:line="240" w:lineRule="auto"/>
        <w:ind w:right="-15"/>
        <w:outlineLvl w:val="1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en-AU"/>
        </w:rPr>
      </w:pPr>
    </w:p>
    <w:p w14:paraId="314BD666" w14:textId="77777777" w:rsidR="00387AEC" w:rsidRPr="004B0772" w:rsidRDefault="00387AEC">
      <w:pPr>
        <w:rPr>
          <w:rFonts w:ascii="Arial" w:hAnsi="Arial" w:cs="Arial"/>
          <w:sz w:val="24"/>
          <w:szCs w:val="24"/>
          <w:lang w:val="en-US"/>
        </w:rPr>
      </w:pPr>
    </w:p>
    <w:sectPr w:rsidR="00387AEC" w:rsidRPr="004B0772" w:rsidSect="00DB069A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4D8"/>
    <w:multiLevelType w:val="hybridMultilevel"/>
    <w:tmpl w:val="B268E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4DC"/>
    <w:multiLevelType w:val="multilevel"/>
    <w:tmpl w:val="53A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779E4"/>
    <w:multiLevelType w:val="hybridMultilevel"/>
    <w:tmpl w:val="C2D4E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41F"/>
    <w:multiLevelType w:val="multilevel"/>
    <w:tmpl w:val="33A8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42966"/>
    <w:multiLevelType w:val="hybridMultilevel"/>
    <w:tmpl w:val="CCFA25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23B67"/>
    <w:multiLevelType w:val="multilevel"/>
    <w:tmpl w:val="4EC2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A5BE9"/>
    <w:multiLevelType w:val="hybridMultilevel"/>
    <w:tmpl w:val="86DE9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E4D12"/>
    <w:multiLevelType w:val="hybridMultilevel"/>
    <w:tmpl w:val="C0C26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4E97"/>
    <w:multiLevelType w:val="hybridMultilevel"/>
    <w:tmpl w:val="9D147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32A83"/>
    <w:multiLevelType w:val="multilevel"/>
    <w:tmpl w:val="3B5E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31F43"/>
    <w:multiLevelType w:val="multilevel"/>
    <w:tmpl w:val="EA8A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A018F"/>
    <w:multiLevelType w:val="multilevel"/>
    <w:tmpl w:val="CE80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46FEC"/>
    <w:multiLevelType w:val="hybridMultilevel"/>
    <w:tmpl w:val="D526CC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A1423"/>
    <w:multiLevelType w:val="hybridMultilevel"/>
    <w:tmpl w:val="73249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316DD"/>
    <w:multiLevelType w:val="hybridMultilevel"/>
    <w:tmpl w:val="C5A25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67AA1"/>
    <w:multiLevelType w:val="multilevel"/>
    <w:tmpl w:val="99CA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05765"/>
    <w:multiLevelType w:val="hybridMultilevel"/>
    <w:tmpl w:val="6E02AB84"/>
    <w:lvl w:ilvl="0" w:tplc="8C9E115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A10F5"/>
    <w:multiLevelType w:val="hybridMultilevel"/>
    <w:tmpl w:val="95B0F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E2DA3"/>
    <w:multiLevelType w:val="multilevel"/>
    <w:tmpl w:val="2356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C760D5"/>
    <w:multiLevelType w:val="multilevel"/>
    <w:tmpl w:val="4A18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CF4E16"/>
    <w:multiLevelType w:val="hybridMultilevel"/>
    <w:tmpl w:val="B3322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C5A7C"/>
    <w:multiLevelType w:val="multilevel"/>
    <w:tmpl w:val="3E7A5A0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6484654D"/>
    <w:multiLevelType w:val="multilevel"/>
    <w:tmpl w:val="0B5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3D2111"/>
    <w:multiLevelType w:val="hybridMultilevel"/>
    <w:tmpl w:val="6CD227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4"/>
  </w:num>
  <w:num w:numId="5">
    <w:abstractNumId w:val="18"/>
  </w:num>
  <w:num w:numId="6">
    <w:abstractNumId w:val="26"/>
  </w:num>
  <w:num w:numId="7">
    <w:abstractNumId w:val="4"/>
  </w:num>
  <w:num w:numId="8">
    <w:abstractNumId w:val="1"/>
  </w:num>
  <w:num w:numId="9">
    <w:abstractNumId w:val="20"/>
  </w:num>
  <w:num w:numId="10">
    <w:abstractNumId w:val="25"/>
  </w:num>
  <w:num w:numId="11">
    <w:abstractNumId w:val="15"/>
  </w:num>
  <w:num w:numId="12">
    <w:abstractNumId w:val="14"/>
  </w:num>
  <w:num w:numId="13">
    <w:abstractNumId w:val="2"/>
  </w:num>
  <w:num w:numId="14">
    <w:abstractNumId w:val="9"/>
  </w:num>
  <w:num w:numId="15">
    <w:abstractNumId w:val="11"/>
  </w:num>
  <w:num w:numId="16">
    <w:abstractNumId w:val="17"/>
  </w:num>
  <w:num w:numId="17">
    <w:abstractNumId w:val="21"/>
  </w:num>
  <w:num w:numId="18">
    <w:abstractNumId w:val="22"/>
  </w:num>
  <w:num w:numId="19">
    <w:abstractNumId w:val="23"/>
  </w:num>
  <w:num w:numId="20">
    <w:abstractNumId w:val="3"/>
  </w:num>
  <w:num w:numId="21">
    <w:abstractNumId w:val="10"/>
  </w:num>
  <w:num w:numId="22">
    <w:abstractNumId w:val="12"/>
  </w:num>
  <w:num w:numId="23">
    <w:abstractNumId w:val="5"/>
  </w:num>
  <w:num w:numId="24">
    <w:abstractNumId w:val="0"/>
  </w:num>
  <w:num w:numId="25">
    <w:abstractNumId w:val="13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EC"/>
    <w:rsid w:val="000116CB"/>
    <w:rsid w:val="0003449E"/>
    <w:rsid w:val="00060CC8"/>
    <w:rsid w:val="00061FB0"/>
    <w:rsid w:val="00067903"/>
    <w:rsid w:val="000879EE"/>
    <w:rsid w:val="000C32DE"/>
    <w:rsid w:val="000D40DB"/>
    <w:rsid w:val="000E623F"/>
    <w:rsid w:val="000F05FC"/>
    <w:rsid w:val="00111C3F"/>
    <w:rsid w:val="00146214"/>
    <w:rsid w:val="0016232C"/>
    <w:rsid w:val="00163AF2"/>
    <w:rsid w:val="00177C64"/>
    <w:rsid w:val="001D3BEE"/>
    <w:rsid w:val="00260455"/>
    <w:rsid w:val="00265538"/>
    <w:rsid w:val="00274B44"/>
    <w:rsid w:val="002C207A"/>
    <w:rsid w:val="002C6393"/>
    <w:rsid w:val="002F5D50"/>
    <w:rsid w:val="00300982"/>
    <w:rsid w:val="00307E98"/>
    <w:rsid w:val="003219AC"/>
    <w:rsid w:val="00337A7C"/>
    <w:rsid w:val="00357296"/>
    <w:rsid w:val="00365CD3"/>
    <w:rsid w:val="00386A2D"/>
    <w:rsid w:val="00387AEC"/>
    <w:rsid w:val="003C2478"/>
    <w:rsid w:val="003D212C"/>
    <w:rsid w:val="003F627F"/>
    <w:rsid w:val="004014D2"/>
    <w:rsid w:val="0040685C"/>
    <w:rsid w:val="00414F25"/>
    <w:rsid w:val="00455FF2"/>
    <w:rsid w:val="004826E0"/>
    <w:rsid w:val="00496CFB"/>
    <w:rsid w:val="004B0772"/>
    <w:rsid w:val="004B6D0A"/>
    <w:rsid w:val="004C5D9C"/>
    <w:rsid w:val="004D424D"/>
    <w:rsid w:val="004D6456"/>
    <w:rsid w:val="004E5FC5"/>
    <w:rsid w:val="004F7ECB"/>
    <w:rsid w:val="00522F4D"/>
    <w:rsid w:val="005273CE"/>
    <w:rsid w:val="00531BA7"/>
    <w:rsid w:val="00536F1D"/>
    <w:rsid w:val="005523DE"/>
    <w:rsid w:val="005602DB"/>
    <w:rsid w:val="005840EB"/>
    <w:rsid w:val="00612A30"/>
    <w:rsid w:val="006178DE"/>
    <w:rsid w:val="006200FF"/>
    <w:rsid w:val="00647E51"/>
    <w:rsid w:val="00692308"/>
    <w:rsid w:val="006B327C"/>
    <w:rsid w:val="006D75B0"/>
    <w:rsid w:val="006E794A"/>
    <w:rsid w:val="006F0C78"/>
    <w:rsid w:val="007306D0"/>
    <w:rsid w:val="00735E73"/>
    <w:rsid w:val="00777FBF"/>
    <w:rsid w:val="007A06A6"/>
    <w:rsid w:val="007F0D50"/>
    <w:rsid w:val="008058F0"/>
    <w:rsid w:val="008178A1"/>
    <w:rsid w:val="00830C4B"/>
    <w:rsid w:val="00850F58"/>
    <w:rsid w:val="008542B0"/>
    <w:rsid w:val="008775FC"/>
    <w:rsid w:val="008868E2"/>
    <w:rsid w:val="008A132E"/>
    <w:rsid w:val="008E4D41"/>
    <w:rsid w:val="00900381"/>
    <w:rsid w:val="00910E38"/>
    <w:rsid w:val="009515D6"/>
    <w:rsid w:val="00954AE4"/>
    <w:rsid w:val="00957ECD"/>
    <w:rsid w:val="00982370"/>
    <w:rsid w:val="0099193C"/>
    <w:rsid w:val="00994FED"/>
    <w:rsid w:val="009A03E1"/>
    <w:rsid w:val="009E0946"/>
    <w:rsid w:val="009F54AA"/>
    <w:rsid w:val="00A00D26"/>
    <w:rsid w:val="00A466EB"/>
    <w:rsid w:val="00A67E4B"/>
    <w:rsid w:val="00A73636"/>
    <w:rsid w:val="00A759BC"/>
    <w:rsid w:val="00AA0900"/>
    <w:rsid w:val="00AC2C02"/>
    <w:rsid w:val="00B037C1"/>
    <w:rsid w:val="00B10E03"/>
    <w:rsid w:val="00B731A9"/>
    <w:rsid w:val="00B81A2C"/>
    <w:rsid w:val="00BB0AF5"/>
    <w:rsid w:val="00BB18B8"/>
    <w:rsid w:val="00BE18F3"/>
    <w:rsid w:val="00C0378C"/>
    <w:rsid w:val="00C1485C"/>
    <w:rsid w:val="00C438C4"/>
    <w:rsid w:val="00C63483"/>
    <w:rsid w:val="00C7401E"/>
    <w:rsid w:val="00C844B6"/>
    <w:rsid w:val="00C8606F"/>
    <w:rsid w:val="00C86B51"/>
    <w:rsid w:val="00CB6FE6"/>
    <w:rsid w:val="00CC3307"/>
    <w:rsid w:val="00CC46CB"/>
    <w:rsid w:val="00CE0898"/>
    <w:rsid w:val="00CE26B7"/>
    <w:rsid w:val="00CF1139"/>
    <w:rsid w:val="00CF49C2"/>
    <w:rsid w:val="00D34CEB"/>
    <w:rsid w:val="00D61D2C"/>
    <w:rsid w:val="00D64B84"/>
    <w:rsid w:val="00D71115"/>
    <w:rsid w:val="00D71205"/>
    <w:rsid w:val="00D80426"/>
    <w:rsid w:val="00D81809"/>
    <w:rsid w:val="00DB069A"/>
    <w:rsid w:val="00DC2B29"/>
    <w:rsid w:val="00DC3AA6"/>
    <w:rsid w:val="00DC5F78"/>
    <w:rsid w:val="00DD6AA7"/>
    <w:rsid w:val="00DF52AB"/>
    <w:rsid w:val="00E24213"/>
    <w:rsid w:val="00E35D69"/>
    <w:rsid w:val="00E52367"/>
    <w:rsid w:val="00E5482D"/>
    <w:rsid w:val="00E567DE"/>
    <w:rsid w:val="00E6765F"/>
    <w:rsid w:val="00E82A15"/>
    <w:rsid w:val="00E94863"/>
    <w:rsid w:val="00EE7033"/>
    <w:rsid w:val="00EF4A13"/>
    <w:rsid w:val="00F02FC9"/>
    <w:rsid w:val="00F03C51"/>
    <w:rsid w:val="00F57BA2"/>
    <w:rsid w:val="00F83036"/>
    <w:rsid w:val="00F9183E"/>
    <w:rsid w:val="00FA4CBC"/>
    <w:rsid w:val="00FB6F78"/>
    <w:rsid w:val="00FF159F"/>
    <w:rsid w:val="0C967C8D"/>
    <w:rsid w:val="1A7619F2"/>
    <w:rsid w:val="1C8BF59D"/>
    <w:rsid w:val="391231CA"/>
    <w:rsid w:val="48124A87"/>
    <w:rsid w:val="5036E6F9"/>
    <w:rsid w:val="51075CE6"/>
    <w:rsid w:val="728A8D72"/>
    <w:rsid w:val="7C5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0F9C"/>
  <w15:docId w15:val="{329ACFF6-E980-4798-8B33-72D0D74F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A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AEC"/>
    <w:rPr>
      <w:color w:val="808080"/>
      <w:shd w:val="clear" w:color="auto" w:fill="E6E6E6"/>
    </w:rPr>
  </w:style>
  <w:style w:type="paragraph" w:customStyle="1" w:styleId="22bodycopybullets">
    <w:name w:val="2.2 body copy bullets"/>
    <w:basedOn w:val="Normal"/>
    <w:qFormat/>
    <w:rsid w:val="00387AEC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58F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0E03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7">
    <w:name w:val="A7"/>
    <w:uiPriority w:val="99"/>
    <w:rsid w:val="00B10E03"/>
    <w:rPr>
      <w:rFonts w:cs="Frutiger LT Std 45 Light"/>
      <w:color w:val="000000"/>
    </w:rPr>
  </w:style>
  <w:style w:type="paragraph" w:styleId="NormalWeb">
    <w:name w:val="Normal (Web)"/>
    <w:basedOn w:val="Normal"/>
    <w:uiPriority w:val="99"/>
    <w:semiHidden/>
    <w:unhideWhenUsed/>
    <w:rsid w:val="00C8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8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B5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2" w:color="00538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1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9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40507">
                                  <w:marLeft w:val="-345"/>
                                  <w:marRight w:val="-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2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ealth.nsw.gov.au/immunisation/Publications/immunisation-enrolment-toolki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D:/preschool%20policies/2019/The-2014-Code-of-Conduct-approved-by-Minister-1-July-2014-updated-Dec-2016-not-tracked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nsw.gov.a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egislation.nsw.gov.a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gislation.nsw.gov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A1889C89A4C48A488A50911D6DDB4" ma:contentTypeVersion="8" ma:contentTypeDescription="Create a new document." ma:contentTypeScope="" ma:versionID="2fd862c6d9a2d68e16fb0fa39a8e14f1">
  <xsd:schema xmlns:xsd="http://www.w3.org/2001/XMLSchema" xmlns:xs="http://www.w3.org/2001/XMLSchema" xmlns:p="http://schemas.microsoft.com/office/2006/metadata/properties" xmlns:ns2="03b97a7d-8b17-4edf-8791-b837b7a4e6cb" targetNamespace="http://schemas.microsoft.com/office/2006/metadata/properties" ma:root="true" ma:fieldsID="439f8bbe6f072736f8ebae8493f5e708" ns2:_="">
    <xsd:import namespace="03b97a7d-8b17-4edf-8791-b837b7a4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97a7d-8b17-4edf-8791-b837b7a4e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A534B-83B1-4A94-81DE-4BD19EC5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F348B-5EF3-4869-9181-D1088AA87FF5}">
  <ds:schemaRefs>
    <ds:schemaRef ds:uri="03b97a7d-8b17-4edf-8791-b837b7a4e6c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A45F07-55A6-4513-8DB1-E8C45B442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97a7d-8b17-4edf-8791-b837b7a4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3947</Characters>
  <Application>Microsoft Office Word</Application>
  <DocSecurity>0</DocSecurity>
  <Lines>32</Lines>
  <Paragraphs>9</Paragraphs>
  <ScaleCrop>false</ScaleCrop>
  <Company>NSW, Department of Education and Training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Birkett</dc:creator>
  <cp:lastModifiedBy>Rebecca Dodds</cp:lastModifiedBy>
  <cp:revision>10</cp:revision>
  <cp:lastPrinted>2019-06-25T00:57:00Z</cp:lastPrinted>
  <dcterms:created xsi:type="dcterms:W3CDTF">2020-03-04T01:52:00Z</dcterms:created>
  <dcterms:modified xsi:type="dcterms:W3CDTF">2020-05-18T09:34:00Z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0x0101007BFA1889C89A4C48A488A50911D6DDB4</vt:lpwstr>
  </property>
</Properties>
</file>