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7A75" w14:textId="718F0725"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9264" behindDoc="0" locked="0" layoutInCell="1" allowOverlap="1" wp14:anchorId="164A2228" wp14:editId="4E72204D">
                <wp:simplePos x="0" y="0"/>
                <wp:positionH relativeFrom="column">
                  <wp:posOffset>5751830</wp:posOffset>
                </wp:positionH>
                <wp:positionV relativeFrom="paragraph">
                  <wp:posOffset>-306070</wp:posOffset>
                </wp:positionV>
                <wp:extent cx="1021080" cy="11874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187450"/>
                        </a:xfrm>
                        <a:prstGeom prst="rect">
                          <a:avLst/>
                        </a:prstGeom>
                        <a:solidFill>
                          <a:srgbClr val="FFFFFF"/>
                        </a:solidFill>
                        <a:ln w="9525">
                          <a:noFill/>
                          <a:miter lim="800000"/>
                          <a:headEnd/>
                          <a:tailEnd/>
                        </a:ln>
                      </wps:spPr>
                      <wps:txbx>
                        <w:txbxContent>
                          <w:p w14:paraId="4FE8E207" w14:textId="24D5AFE2" w:rsidR="008542B0" w:rsidRPr="00EF4A13" w:rsidRDefault="00296E2B" w:rsidP="008542B0">
                            <w:pPr>
                              <w:jc w:val="center"/>
                              <w:rPr>
                                <w:lang w:val="en-US"/>
                              </w:rPr>
                            </w:pPr>
                            <w:r>
                              <w:rPr>
                                <w:noProof/>
                                <w:lang w:eastAsia="en-AU"/>
                              </w:rPr>
                              <w:drawing>
                                <wp:inline distT="0" distB="0" distL="0" distR="0" wp14:anchorId="34C932D1" wp14:editId="0EFF50B4">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64A2228">
                <v:stroke joinstyle="miter"/>
                <v:path gradientshapeok="t" o:connecttype="rect"/>
              </v:shapetype>
              <v:shape id="Text Box 2" style="position:absolute;margin-left:452.9pt;margin-top:-24.1pt;width:80.4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">
                <v:textbox>
                  <w:txbxContent>
                    <w:p w:rsidRPr="00EF4A13" w:rsidR="008542B0" w:rsidP="008542B0" w:rsidRDefault="00296E2B" w14:paraId="4FE8E207" w14:textId="24D5AFE2">
                      <w:pPr>
                        <w:jc w:val="center"/>
                        <w:rPr>
                          <w:lang w:val="en-US"/>
                        </w:rPr>
                      </w:pPr>
                      <w:r>
                        <w:rPr>
                          <w:noProof/>
                          <w:lang w:eastAsia="en-AU"/>
                        </w:rPr>
                        <w:drawing>
                          <wp:inline distT="0" distB="0" distL="0" distR="0" wp14:anchorId="34C932D1" wp14:editId="0EFF50B4">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9">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v:shape>
            </w:pict>
          </mc:Fallback>
        </mc:AlternateContent>
      </w:r>
      <w:r w:rsidR="00296E2B">
        <w:rPr>
          <w:rFonts w:ascii="Arial" w:eastAsia="Arial" w:hAnsi="Arial" w:cs="Arial"/>
          <w:b/>
          <w:color w:val="0070C0"/>
          <w:sz w:val="30"/>
          <w:szCs w:val="30"/>
        </w:rPr>
        <w:t xml:space="preserve">Waratah </w:t>
      </w:r>
      <w:r w:rsidR="002F5D50">
        <w:rPr>
          <w:rFonts w:ascii="Arial" w:eastAsia="Arial" w:hAnsi="Arial" w:cs="Arial"/>
          <w:b/>
          <w:color w:val="0070C0"/>
          <w:sz w:val="30"/>
          <w:szCs w:val="30"/>
        </w:rPr>
        <w:t>Public School Preschool</w:t>
      </w:r>
      <w:r w:rsidR="00EF4A13">
        <w:rPr>
          <w:rFonts w:ascii="Arial" w:eastAsia="Arial" w:hAnsi="Arial" w:cs="Arial"/>
          <w:b/>
          <w:color w:val="0070C0"/>
          <w:sz w:val="30"/>
          <w:szCs w:val="30"/>
        </w:rPr>
        <w:t xml:space="preserve"> Procedure</w:t>
      </w:r>
    </w:p>
    <w:p w14:paraId="5EDE0430" w14:textId="58365665" w:rsidR="00850F58" w:rsidRDefault="001C3672" w:rsidP="00CC3307">
      <w:pPr>
        <w:ind w:left="720" w:hanging="720"/>
        <w:rPr>
          <w:rFonts w:ascii="Arial" w:eastAsia="Arial" w:hAnsi="Arial" w:cs="Arial"/>
          <w:b/>
          <w:color w:val="0070C0"/>
          <w:sz w:val="36"/>
          <w:szCs w:val="36"/>
        </w:rPr>
      </w:pPr>
      <w:r>
        <w:rPr>
          <w:rFonts w:ascii="Arial" w:eastAsia="Arial" w:hAnsi="Arial" w:cs="Arial"/>
          <w:b/>
          <w:color w:val="0070C0"/>
          <w:sz w:val="36"/>
          <w:szCs w:val="36"/>
        </w:rPr>
        <w:t>Toy Cleaning</w:t>
      </w:r>
      <w:r w:rsidRPr="00174781">
        <w:rPr>
          <w:rFonts w:ascii="Arial" w:eastAsia="Arial" w:hAnsi="Arial" w:cs="Arial"/>
          <w:b/>
          <w:color w:val="0070C0"/>
          <w:sz w:val="28"/>
          <w:szCs w:val="36"/>
        </w:rPr>
        <w:t xml:space="preserve"> </w:t>
      </w:r>
    </w:p>
    <w:p w14:paraId="3C0BBDB2" w14:textId="24C488A1"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83556C">
        <w:rPr>
          <w:rFonts w:ascii="Arial" w:hAnsi="Arial" w:cs="Arial"/>
          <w:b/>
          <w:color w:val="0070C0"/>
          <w:sz w:val="24"/>
          <w:szCs w:val="24"/>
          <w:lang w:val="en-US"/>
        </w:rPr>
        <w:t>12/2/202</w:t>
      </w:r>
      <w:r w:rsidR="00764BF4">
        <w:rPr>
          <w:rFonts w:ascii="Arial" w:hAnsi="Arial" w:cs="Arial"/>
          <w:b/>
          <w:color w:val="0070C0"/>
          <w:sz w:val="24"/>
          <w:szCs w:val="24"/>
          <w:lang w:val="en-US"/>
        </w:rPr>
        <w:t>0</w:t>
      </w:r>
      <w:r>
        <w:rPr>
          <w:rFonts w:ascii="Arial" w:hAnsi="Arial" w:cs="Arial"/>
          <w:b/>
          <w:color w:val="0070C0"/>
          <w:sz w:val="24"/>
          <w:szCs w:val="24"/>
          <w:lang w:val="en-US"/>
        </w:rPr>
        <w:t xml:space="preserve"> </w:t>
      </w:r>
    </w:p>
    <w:tbl>
      <w:tblPr>
        <w:tblW w:w="10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8"/>
        <w:gridCol w:w="1417"/>
        <w:gridCol w:w="1701"/>
        <w:gridCol w:w="1531"/>
      </w:tblGrid>
      <w:tr w:rsidR="00174781" w:rsidRPr="00EF4A13" w14:paraId="1CF3881D" w14:textId="77777777" w:rsidTr="65A1716D">
        <w:trPr>
          <w:trHeight w:val="12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792E4E" w14:textId="5E3BCFA0" w:rsidR="00174781" w:rsidRPr="009F008D" w:rsidRDefault="00174781" w:rsidP="00174781">
            <w:pPr>
              <w:spacing w:line="240" w:lineRule="auto"/>
              <w:jc w:val="center"/>
              <w:rPr>
                <w:rFonts w:ascii="Calibri" w:hAnsi="Calibri" w:cs="Calibri"/>
                <w:b/>
                <w:sz w:val="26"/>
                <w:szCs w:val="26"/>
              </w:rPr>
            </w:pPr>
            <w:r w:rsidRPr="009F008D">
              <w:rPr>
                <w:rFonts w:ascii="Calibri" w:hAnsi="Calibri" w:cs="Calibri"/>
                <w:b/>
                <w:sz w:val="26"/>
                <w:szCs w:val="26"/>
              </w:rPr>
              <w:t>Education and care services regulation/s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8F23B9B" w14:textId="096EEB8B" w:rsidR="00174781" w:rsidRPr="009F008D" w:rsidRDefault="00174781" w:rsidP="00174781">
            <w:pPr>
              <w:spacing w:line="240" w:lineRule="auto"/>
              <w:jc w:val="center"/>
              <w:rPr>
                <w:rFonts w:ascii="Calibri" w:hAnsi="Calibri" w:cs="Calibri"/>
                <w:b/>
                <w:sz w:val="26"/>
                <w:szCs w:val="26"/>
              </w:rPr>
            </w:pPr>
            <w:r w:rsidRPr="009F008D">
              <w:rPr>
                <w:rFonts w:ascii="Calibri" w:hAnsi="Calibri" w:cs="Calibri"/>
                <w:b/>
                <w:sz w:val="26"/>
                <w:szCs w:val="26"/>
              </w:rPr>
              <w:t>NSW Department of Education policy, procedure or guidelines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FE577E8" w14:textId="4D06DE6E" w:rsidR="00174781" w:rsidRPr="009F008D" w:rsidRDefault="007F76F6" w:rsidP="00174781">
            <w:pPr>
              <w:spacing w:line="240" w:lineRule="auto"/>
              <w:jc w:val="center"/>
              <w:rPr>
                <w:rFonts w:ascii="Calibri" w:eastAsia="Arial" w:hAnsi="Calibri" w:cs="Calibri"/>
                <w:b/>
                <w:sz w:val="26"/>
                <w:szCs w:val="26"/>
              </w:rPr>
            </w:pPr>
            <w:hyperlink r:id="rId10" w:history="1">
              <w:r w:rsidR="00174781" w:rsidRPr="009F008D">
                <w:rPr>
                  <w:rStyle w:val="Hyperlink"/>
                  <w:rFonts w:ascii="Calibri" w:eastAsia="Arial" w:hAnsi="Calibri" w:cs="Calibri"/>
                  <w:b/>
                  <w:sz w:val="26"/>
                  <w:szCs w:val="26"/>
                </w:rPr>
                <w:t>Preschool Guidelines</w:t>
              </w:r>
            </w:hyperlink>
            <w:r w:rsidR="00174781" w:rsidRPr="009F008D">
              <w:rPr>
                <w:rFonts w:ascii="Calibri" w:eastAsia="Arial" w:hAnsi="Calibri" w:cs="Calibri"/>
                <w:b/>
                <w:sz w:val="26"/>
                <w:szCs w:val="26"/>
              </w:rPr>
              <w:t xml:space="preserve"> reference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24155B5" w14:textId="36EED4F0" w:rsidR="00174781" w:rsidRPr="009F008D" w:rsidRDefault="00174781" w:rsidP="00174781">
            <w:pPr>
              <w:spacing w:line="240" w:lineRule="auto"/>
              <w:jc w:val="center"/>
              <w:rPr>
                <w:rFonts w:ascii="Calibri" w:eastAsia="Arial" w:hAnsi="Calibri" w:cs="Calibri"/>
                <w:b/>
                <w:sz w:val="26"/>
                <w:szCs w:val="26"/>
              </w:rPr>
            </w:pPr>
            <w:r>
              <w:rPr>
                <w:rFonts w:eastAsia="Arial" w:cstheme="minorHAnsi"/>
                <w:b/>
              </w:rPr>
              <w:t>National Quality Standard</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35EDE0" w14:textId="036BD495" w:rsidR="00174781" w:rsidRPr="009F008D" w:rsidRDefault="00174781" w:rsidP="00174781">
            <w:pPr>
              <w:spacing w:line="240" w:lineRule="auto"/>
              <w:jc w:val="center"/>
              <w:rPr>
                <w:rFonts w:ascii="Calibri" w:eastAsia="Arial" w:hAnsi="Calibri" w:cs="Calibri"/>
                <w:b/>
                <w:sz w:val="26"/>
                <w:szCs w:val="26"/>
              </w:rPr>
            </w:pPr>
            <w:r w:rsidRPr="001424AD">
              <w:rPr>
                <w:rFonts w:cstheme="minorHAnsi"/>
                <w:b/>
              </w:rPr>
              <w:t>School policy or procedure, where applicable</w:t>
            </w:r>
          </w:p>
        </w:tc>
      </w:tr>
      <w:tr w:rsidR="00174781" w:rsidRPr="00682C2E" w14:paraId="0751E14E" w14:textId="77777777" w:rsidTr="65A1716D">
        <w:trPr>
          <w:trHeight w:val="120"/>
        </w:trPr>
        <w:tc>
          <w:tcPr>
            <w:tcW w:w="2268" w:type="dxa"/>
            <w:shd w:val="clear" w:color="auto" w:fill="FFFFFF" w:themeFill="background1"/>
          </w:tcPr>
          <w:p w14:paraId="520D5AB1" w14:textId="5377B11E" w:rsidR="00174781" w:rsidRPr="009836F0" w:rsidRDefault="009836F0" w:rsidP="009836F0">
            <w:pPr>
              <w:shd w:val="clear" w:color="auto" w:fill="FFFFFF"/>
              <w:spacing w:before="100" w:beforeAutospacing="1" w:after="100" w:afterAutospacing="1" w:line="240" w:lineRule="auto"/>
              <w:rPr>
                <w:rStyle w:val="Hyperlink"/>
                <w:rFonts w:cstheme="minorHAnsi"/>
              </w:rPr>
            </w:pPr>
            <w:r>
              <w:rPr>
                <w:rFonts w:cstheme="minorHAnsi"/>
              </w:rPr>
              <w:fldChar w:fldCharType="begin"/>
            </w:r>
            <w:r>
              <w:rPr>
                <w:rFonts w:cstheme="minorHAnsi"/>
              </w:rPr>
              <w:instrText xml:space="preserve"> HYPERLINK "http://www7.austlii.edu.au/cgi-bin/viewdoc/au/legis/nsw/consol_reg/eacsnr422/s103.html?context=1;query=clean;mask_path=au/legis/nsw/consol_reg/eacsnr422" </w:instrText>
            </w:r>
            <w:r>
              <w:rPr>
                <w:rFonts w:cstheme="minorHAnsi"/>
              </w:rPr>
              <w:fldChar w:fldCharType="separate"/>
            </w:r>
            <w:r>
              <w:rPr>
                <w:rStyle w:val="Hyperlink"/>
                <w:rFonts w:cstheme="minorHAnsi"/>
              </w:rPr>
              <w:t>Regulation 103</w:t>
            </w:r>
          </w:p>
          <w:p w14:paraId="45C16816" w14:textId="310FB8D9" w:rsidR="009836F0" w:rsidRDefault="009836F0" w:rsidP="009836F0">
            <w:pPr>
              <w:pStyle w:val="Body1"/>
              <w:rPr>
                <w:rFonts w:ascii="Calibri" w:hAnsi="Calibri" w:cs="MetaPlusNormal-Roman"/>
                <w:b/>
                <w:color w:val="000099"/>
                <w:sz w:val="22"/>
              </w:rPr>
            </w:pPr>
            <w:r>
              <w:rPr>
                <w:rFonts w:asciiTheme="minorHAnsi" w:eastAsiaTheme="minorHAnsi" w:hAnsiTheme="minorHAnsi" w:cstheme="minorHAnsi"/>
                <w:color w:val="auto"/>
                <w:sz w:val="22"/>
                <w:szCs w:val="22"/>
                <w:lang w:eastAsia="en-US"/>
              </w:rPr>
              <w:fldChar w:fldCharType="end"/>
            </w:r>
          </w:p>
          <w:p w14:paraId="090D5710" w14:textId="2FB1A2F3" w:rsidR="00174781" w:rsidRPr="009F008D" w:rsidRDefault="00174781" w:rsidP="009836F0">
            <w:pPr>
              <w:pStyle w:val="Body1"/>
              <w:rPr>
                <w:rFonts w:ascii="Calibri" w:eastAsia="Times New Roman" w:hAnsi="Calibri" w:cs="Calibri"/>
                <w:spacing w:val="2"/>
                <w:szCs w:val="24"/>
              </w:rPr>
            </w:pPr>
          </w:p>
        </w:tc>
        <w:tc>
          <w:tcPr>
            <w:tcW w:w="3828" w:type="dxa"/>
            <w:shd w:val="clear" w:color="auto" w:fill="FFFFFF" w:themeFill="background1"/>
          </w:tcPr>
          <w:p w14:paraId="6CA5703B" w14:textId="77777777" w:rsidR="00174781" w:rsidRPr="009F008D" w:rsidRDefault="00174781" w:rsidP="009F008D">
            <w:pPr>
              <w:shd w:val="clear" w:color="auto" w:fill="FFFFFF"/>
              <w:spacing w:after="0" w:line="240" w:lineRule="auto"/>
              <w:rPr>
                <w:rFonts w:ascii="Calibri" w:eastAsia="Times New Roman" w:hAnsi="Calibri" w:cs="Calibri"/>
                <w:color w:val="0070C0"/>
                <w:spacing w:val="2"/>
                <w:sz w:val="24"/>
                <w:szCs w:val="24"/>
                <w:lang w:eastAsia="en-AU"/>
              </w:rPr>
            </w:pPr>
            <w:r w:rsidRPr="009F008D">
              <w:rPr>
                <w:rFonts w:ascii="Calibri" w:eastAsia="Times New Roman" w:hAnsi="Calibri" w:cs="Calibri"/>
                <w:color w:val="000000"/>
                <w:spacing w:val="2"/>
                <w:sz w:val="24"/>
                <w:szCs w:val="24"/>
                <w:lang w:eastAsia="en-AU"/>
              </w:rPr>
              <w:t xml:space="preserve">The following department policies and relevant documents can be accessed from the </w:t>
            </w:r>
            <w:r w:rsidRPr="009F008D">
              <w:rPr>
                <w:rFonts w:ascii="Calibri" w:eastAsia="Times New Roman" w:hAnsi="Calibri" w:cs="Calibri"/>
                <w:color w:val="000000" w:themeColor="text1"/>
                <w:spacing w:val="2"/>
                <w:sz w:val="24"/>
                <w:szCs w:val="24"/>
                <w:lang w:eastAsia="en-AU"/>
              </w:rPr>
              <w:t xml:space="preserve">preschool section of the department’s </w:t>
            </w:r>
            <w:hyperlink r:id="rId11" w:history="1">
              <w:r w:rsidRPr="009F008D">
                <w:rPr>
                  <w:rStyle w:val="Hyperlink"/>
                  <w:rFonts w:ascii="Calibri" w:eastAsia="Times New Roman" w:hAnsi="Calibri" w:cs="Calibri"/>
                  <w:spacing w:val="2"/>
                  <w:sz w:val="24"/>
                  <w:szCs w:val="24"/>
                  <w:lang w:eastAsia="en-AU"/>
                </w:rPr>
                <w:t>website</w:t>
              </w:r>
            </w:hyperlink>
            <w:r w:rsidRPr="009F008D">
              <w:rPr>
                <w:rFonts w:ascii="Calibri" w:eastAsia="Times New Roman" w:hAnsi="Calibri" w:cs="Calibri"/>
                <w:color w:val="000000" w:themeColor="text1"/>
                <w:spacing w:val="2"/>
                <w:sz w:val="24"/>
                <w:szCs w:val="24"/>
                <w:lang w:eastAsia="en-AU"/>
              </w:rPr>
              <w:t>;</w:t>
            </w:r>
          </w:p>
          <w:p w14:paraId="3E7918CC" w14:textId="351118BB" w:rsidR="00174781" w:rsidRPr="00D23CF5" w:rsidRDefault="00174781" w:rsidP="001C3672">
            <w:pPr>
              <w:pStyle w:val="ListParagraph"/>
              <w:numPr>
                <w:ilvl w:val="0"/>
                <w:numId w:val="15"/>
              </w:numPr>
              <w:spacing w:after="0" w:line="240" w:lineRule="auto"/>
              <w:rPr>
                <w:rFonts w:ascii="Calibri" w:hAnsi="Calibri" w:cs="Calibri"/>
                <w:sz w:val="24"/>
                <w:szCs w:val="24"/>
              </w:rPr>
            </w:pPr>
            <w:r>
              <w:rPr>
                <w:rFonts w:ascii="Calibri" w:hAnsi="Calibri" w:cs="Calibri"/>
                <w:sz w:val="24"/>
                <w:szCs w:val="24"/>
              </w:rPr>
              <w:t xml:space="preserve">Work Health &amp; Safety (WHS) policy </w:t>
            </w:r>
          </w:p>
        </w:tc>
        <w:tc>
          <w:tcPr>
            <w:tcW w:w="1417" w:type="dxa"/>
            <w:shd w:val="clear" w:color="auto" w:fill="FFFFFF" w:themeFill="background1"/>
          </w:tcPr>
          <w:p w14:paraId="46B92D8A" w14:textId="77777777" w:rsidR="00174781" w:rsidRPr="009F008D" w:rsidRDefault="00174781" w:rsidP="000F2BCD">
            <w:pPr>
              <w:rPr>
                <w:rFonts w:ascii="Calibri" w:hAnsi="Calibri" w:cs="Calibri"/>
                <w:sz w:val="24"/>
                <w:szCs w:val="24"/>
              </w:rPr>
            </w:pPr>
          </w:p>
          <w:p w14:paraId="1F048A01" w14:textId="37DCDEA0" w:rsidR="00174781" w:rsidRDefault="00174781" w:rsidP="001C3672">
            <w:pPr>
              <w:rPr>
                <w:rFonts w:ascii="Calibri" w:hAnsi="Calibri" w:cs="Calibri"/>
                <w:sz w:val="24"/>
                <w:szCs w:val="24"/>
              </w:rPr>
            </w:pPr>
            <w:r w:rsidRPr="009F008D">
              <w:rPr>
                <w:rFonts w:ascii="Calibri" w:hAnsi="Calibri" w:cs="Calibri"/>
                <w:sz w:val="24"/>
                <w:szCs w:val="24"/>
              </w:rPr>
              <w:t xml:space="preserve"> </w:t>
            </w:r>
            <w:r w:rsidR="00EB7469">
              <w:rPr>
                <w:rFonts w:ascii="Calibri" w:hAnsi="Calibri" w:cs="Calibri"/>
                <w:sz w:val="24"/>
                <w:szCs w:val="24"/>
              </w:rPr>
              <w:t>p. 34-35</w:t>
            </w:r>
          </w:p>
          <w:p w14:paraId="7996FE8F" w14:textId="30B0A923" w:rsidR="00174781" w:rsidRDefault="00174781" w:rsidP="001C3672">
            <w:pPr>
              <w:rPr>
                <w:rFonts w:ascii="Calibri" w:hAnsi="Calibri" w:cs="Calibri"/>
                <w:sz w:val="24"/>
                <w:szCs w:val="24"/>
              </w:rPr>
            </w:pPr>
          </w:p>
          <w:p w14:paraId="045580DB" w14:textId="77777777" w:rsidR="00174781" w:rsidRPr="009F008D" w:rsidRDefault="00174781" w:rsidP="001C3672">
            <w:pPr>
              <w:rPr>
                <w:rFonts w:ascii="Calibri" w:hAnsi="Calibri" w:cs="Calibri"/>
                <w:sz w:val="24"/>
                <w:szCs w:val="24"/>
              </w:rPr>
            </w:pPr>
          </w:p>
          <w:p w14:paraId="4914E265" w14:textId="70BEF375" w:rsidR="00174781" w:rsidRPr="009F008D" w:rsidRDefault="00174781" w:rsidP="000F2BCD">
            <w:pPr>
              <w:rPr>
                <w:rFonts w:ascii="Calibri" w:hAnsi="Calibri" w:cs="Calibri"/>
                <w:sz w:val="24"/>
                <w:szCs w:val="24"/>
              </w:rPr>
            </w:pPr>
          </w:p>
        </w:tc>
        <w:tc>
          <w:tcPr>
            <w:tcW w:w="1701" w:type="dxa"/>
            <w:shd w:val="clear" w:color="auto" w:fill="FFFFFF" w:themeFill="background1"/>
          </w:tcPr>
          <w:p w14:paraId="48D98394" w14:textId="2F555F97" w:rsidR="00EB7469" w:rsidRDefault="00EB7469" w:rsidP="00CC3307">
            <w:pPr>
              <w:spacing w:line="240" w:lineRule="auto"/>
              <w:rPr>
                <w:rFonts w:ascii="Calibri" w:hAnsi="Calibri" w:cs="Calibri"/>
                <w:sz w:val="24"/>
                <w:szCs w:val="24"/>
              </w:rPr>
            </w:pPr>
          </w:p>
          <w:p w14:paraId="2E03DF80" w14:textId="0B9FF462" w:rsidR="00EB7469" w:rsidRDefault="00EB7469" w:rsidP="00EB7469">
            <w:pPr>
              <w:spacing w:line="240" w:lineRule="auto"/>
              <w:jc w:val="center"/>
              <w:rPr>
                <w:rFonts w:ascii="Calibri" w:hAnsi="Calibri" w:cs="Calibri"/>
                <w:sz w:val="24"/>
                <w:szCs w:val="24"/>
              </w:rPr>
            </w:pPr>
            <w:r>
              <w:rPr>
                <w:rFonts w:ascii="Calibri" w:hAnsi="Calibri" w:cs="Calibri"/>
                <w:sz w:val="24"/>
                <w:szCs w:val="24"/>
              </w:rPr>
              <w:t>2.1</w:t>
            </w:r>
          </w:p>
        </w:tc>
        <w:tc>
          <w:tcPr>
            <w:tcW w:w="1531" w:type="dxa"/>
            <w:shd w:val="clear" w:color="auto" w:fill="FFFFFF" w:themeFill="background1"/>
          </w:tcPr>
          <w:p w14:paraId="5CF9064B" w14:textId="3F2570A3" w:rsidR="00174781" w:rsidRPr="009F008D" w:rsidRDefault="00174781" w:rsidP="65A1716D">
            <w:pPr>
              <w:spacing w:line="240" w:lineRule="auto"/>
              <w:jc w:val="center"/>
              <w:rPr>
                <w:rFonts w:ascii="Calibri" w:hAnsi="Calibri" w:cs="Calibri"/>
                <w:sz w:val="24"/>
                <w:szCs w:val="24"/>
              </w:rPr>
            </w:pPr>
          </w:p>
          <w:p w14:paraId="79C508C3" w14:textId="1575BB73" w:rsidR="00174781" w:rsidRPr="007F76F6" w:rsidRDefault="0DC3242C" w:rsidP="65A1716D">
            <w:pPr>
              <w:spacing w:line="240" w:lineRule="auto"/>
              <w:jc w:val="center"/>
              <w:rPr>
                <w:rFonts w:ascii="Calibri" w:hAnsi="Calibri" w:cs="Calibri"/>
                <w:sz w:val="24"/>
                <w:szCs w:val="24"/>
              </w:rPr>
            </w:pPr>
            <w:r w:rsidRPr="007F76F6">
              <w:rPr>
                <w:rFonts w:ascii="Calibri" w:hAnsi="Calibri" w:cs="Calibri"/>
                <w:sz w:val="24"/>
                <w:szCs w:val="24"/>
              </w:rPr>
              <w:t xml:space="preserve">DoE COVID 19 Hygiene advice </w:t>
            </w:r>
          </w:p>
          <w:p w14:paraId="413E1FAC" w14:textId="3CD8CC19" w:rsidR="00174781" w:rsidRPr="009F008D" w:rsidRDefault="0DC3242C" w:rsidP="65A1716D">
            <w:pPr>
              <w:spacing w:line="240" w:lineRule="auto"/>
              <w:jc w:val="center"/>
              <w:rPr>
                <w:rFonts w:ascii="Calibri" w:hAnsi="Calibri" w:cs="Calibri"/>
                <w:sz w:val="24"/>
                <w:szCs w:val="24"/>
              </w:rPr>
            </w:pPr>
            <w:r w:rsidRPr="007F76F6">
              <w:rPr>
                <w:rFonts w:ascii="Calibri" w:hAnsi="Calibri" w:cs="Calibri"/>
                <w:sz w:val="24"/>
                <w:szCs w:val="24"/>
              </w:rPr>
              <w:t>(March 2020)</w:t>
            </w:r>
          </w:p>
        </w:tc>
      </w:tr>
      <w:tr w:rsidR="00682C2E" w:rsidRPr="00682C2E" w14:paraId="5CBC0EE5" w14:textId="77777777" w:rsidTr="65A1716D">
        <w:trPr>
          <w:trHeight w:val="120"/>
        </w:trPr>
        <w:tc>
          <w:tcPr>
            <w:tcW w:w="10745" w:type="dxa"/>
            <w:gridSpan w:val="5"/>
            <w:shd w:val="clear" w:color="auto" w:fill="FFFFFF" w:themeFill="background1"/>
          </w:tcPr>
          <w:p w14:paraId="41B22A8E" w14:textId="2ABC0932" w:rsidR="001C3672" w:rsidRPr="00A84E30" w:rsidRDefault="00682C2E" w:rsidP="00925037">
            <w:pPr>
              <w:spacing w:after="0" w:line="240" w:lineRule="auto"/>
              <w:rPr>
                <w:rFonts w:ascii="Calibri" w:hAnsi="Calibri" w:cs="Calibri"/>
                <w:b/>
                <w:bCs/>
                <w:i/>
                <w:sz w:val="24"/>
                <w:szCs w:val="24"/>
              </w:rPr>
            </w:pPr>
            <w:r w:rsidRPr="009F008D">
              <w:rPr>
                <w:rFonts w:ascii="Calibri" w:hAnsi="Calibri" w:cs="Calibri"/>
                <w:b/>
                <w:bCs/>
                <w:i/>
                <w:sz w:val="24"/>
                <w:szCs w:val="24"/>
              </w:rPr>
              <w:t>Resources;</w:t>
            </w:r>
          </w:p>
          <w:p w14:paraId="41D992CF" w14:textId="1B04D749" w:rsidR="009F008D" w:rsidRPr="00A84E30" w:rsidRDefault="00925037" w:rsidP="00925037">
            <w:pPr>
              <w:numPr>
                <w:ilvl w:val="0"/>
                <w:numId w:val="15"/>
              </w:numPr>
              <w:spacing w:after="0" w:line="240" w:lineRule="auto"/>
              <w:rPr>
                <w:rFonts w:cs="Calibri"/>
                <w:sz w:val="24"/>
                <w:szCs w:val="24"/>
              </w:rPr>
            </w:pPr>
            <w:r w:rsidRPr="00A84E30">
              <w:rPr>
                <w:rFonts w:cs="Calibri"/>
                <w:sz w:val="24"/>
                <w:szCs w:val="24"/>
              </w:rPr>
              <w:t>Staying Healthy Guide 5</w:t>
            </w:r>
            <w:r w:rsidRPr="00A84E30">
              <w:rPr>
                <w:rFonts w:cs="Calibri"/>
                <w:sz w:val="24"/>
                <w:szCs w:val="24"/>
                <w:vertAlign w:val="superscript"/>
              </w:rPr>
              <w:t>th</w:t>
            </w:r>
            <w:r w:rsidRPr="00A84E30">
              <w:rPr>
                <w:rFonts w:cs="Calibri"/>
                <w:sz w:val="24"/>
                <w:szCs w:val="24"/>
              </w:rPr>
              <w:t xml:space="preserve"> Edition</w:t>
            </w:r>
          </w:p>
          <w:p w14:paraId="227424FF" w14:textId="1F5959DF" w:rsidR="00925037" w:rsidRPr="00925037" w:rsidRDefault="00925037" w:rsidP="00925037">
            <w:pPr>
              <w:spacing w:after="0" w:line="240" w:lineRule="auto"/>
              <w:rPr>
                <w:rFonts w:cs="Calibri"/>
                <w:sz w:val="24"/>
                <w:szCs w:val="24"/>
              </w:rPr>
            </w:pPr>
          </w:p>
        </w:tc>
      </w:tr>
      <w:tr w:rsidR="00682C2E" w:rsidRPr="00682C2E" w14:paraId="2F9B9146" w14:textId="77777777" w:rsidTr="65A1716D">
        <w:trPr>
          <w:trHeight w:val="120"/>
        </w:trPr>
        <w:tc>
          <w:tcPr>
            <w:tcW w:w="10745" w:type="dxa"/>
            <w:gridSpan w:val="5"/>
            <w:shd w:val="clear" w:color="auto" w:fill="FFFFFF" w:themeFill="background1"/>
          </w:tcPr>
          <w:p w14:paraId="3C08ABF6" w14:textId="77777777" w:rsidR="001C3672" w:rsidRPr="007C71D9" w:rsidRDefault="001C3672" w:rsidP="55C6F521">
            <w:pPr>
              <w:autoSpaceDE w:val="0"/>
              <w:autoSpaceDN w:val="0"/>
              <w:adjustRightInd w:val="0"/>
              <w:spacing w:after="0" w:line="240" w:lineRule="auto"/>
              <w:rPr>
                <w:rFonts w:eastAsiaTheme="minorEastAsia"/>
                <w:sz w:val="24"/>
                <w:szCs w:val="24"/>
                <w:lang w:eastAsia="en-AU"/>
              </w:rPr>
            </w:pPr>
            <w:r w:rsidRPr="55C6F521">
              <w:rPr>
                <w:rFonts w:eastAsiaTheme="minorEastAsia"/>
                <w:sz w:val="24"/>
                <w:szCs w:val="24"/>
                <w:lang w:eastAsia="en-AU"/>
              </w:rPr>
              <w:t>This procedure has been developed to minimise the spread of bacteria and disease at Waratah Public School Preschool.</w:t>
            </w:r>
          </w:p>
          <w:p w14:paraId="33B9D409" w14:textId="77777777" w:rsidR="001C3672" w:rsidRPr="003013FC" w:rsidRDefault="001C3672" w:rsidP="001C3672">
            <w:pPr>
              <w:pStyle w:val="Body1"/>
              <w:rPr>
                <w:rFonts w:ascii="Calibri" w:hAnsi="Calibri" w:cs="Calibri"/>
                <w:b/>
              </w:rPr>
            </w:pPr>
          </w:p>
          <w:p w14:paraId="7B0824AC" w14:textId="6AA6840E" w:rsidR="001C3672" w:rsidRDefault="001C3672" w:rsidP="001C3672">
            <w:pPr>
              <w:pStyle w:val="Body1"/>
              <w:rPr>
                <w:rFonts w:ascii="Calibri" w:hAnsi="Calibri" w:cs="Calibri"/>
                <w:b/>
                <w:szCs w:val="24"/>
              </w:rPr>
            </w:pPr>
            <w:r>
              <w:rPr>
                <w:rFonts w:ascii="Calibri" w:hAnsi="Calibri" w:cs="Calibri"/>
                <w:b/>
                <w:szCs w:val="24"/>
              </w:rPr>
              <w:t>Implementation</w:t>
            </w:r>
          </w:p>
          <w:p w14:paraId="1124F7DD" w14:textId="16C14674" w:rsidR="001C3672" w:rsidRPr="007F76F6" w:rsidRDefault="001C3672" w:rsidP="2E65D468">
            <w:pPr>
              <w:pStyle w:val="Body1"/>
              <w:numPr>
                <w:ilvl w:val="0"/>
                <w:numId w:val="15"/>
              </w:numPr>
              <w:rPr>
                <w:rFonts w:ascii="Calibri" w:hAnsi="Calibri" w:cs="Calibri"/>
                <w:color w:val="auto"/>
              </w:rPr>
            </w:pPr>
            <w:r w:rsidRPr="007F76F6">
              <w:rPr>
                <w:rFonts w:ascii="Calibri" w:hAnsi="Calibri" w:cs="Calibri"/>
                <w:color w:val="auto"/>
              </w:rPr>
              <w:t>Children will be asked to</w:t>
            </w:r>
            <w:r w:rsidR="00E92D91" w:rsidRPr="007F76F6">
              <w:rPr>
                <w:rFonts w:ascii="Calibri" w:hAnsi="Calibri" w:cs="Calibri"/>
                <w:color w:val="auto"/>
              </w:rPr>
              <w:t xml:space="preserve"> wash their hands upon arrival</w:t>
            </w:r>
            <w:r w:rsidRPr="007F76F6">
              <w:rPr>
                <w:rFonts w:ascii="Calibri" w:hAnsi="Calibri" w:cs="Calibri"/>
                <w:color w:val="auto"/>
              </w:rPr>
              <w:t xml:space="preserve"> as part of their morning routine</w:t>
            </w:r>
            <w:r w:rsidR="64D54B40" w:rsidRPr="007F76F6">
              <w:rPr>
                <w:rFonts w:ascii="Calibri" w:hAnsi="Calibri" w:cs="Calibri"/>
                <w:color w:val="auto"/>
              </w:rPr>
              <w:t xml:space="preserve">, and when they come inside from outdoor play. </w:t>
            </w:r>
            <w:r w:rsidRPr="007F76F6">
              <w:rPr>
                <w:rFonts w:ascii="Calibri" w:hAnsi="Calibri" w:cs="Calibri"/>
                <w:color w:val="auto"/>
              </w:rPr>
              <w:t xml:space="preserve"> </w:t>
            </w:r>
          </w:p>
          <w:p w14:paraId="0273DEA9" w14:textId="50CF5D1A" w:rsidR="001C3672" w:rsidRDefault="001C3672" w:rsidP="0083556C">
            <w:pPr>
              <w:numPr>
                <w:ilvl w:val="0"/>
                <w:numId w:val="15"/>
              </w:numPr>
              <w:spacing w:after="0" w:line="276" w:lineRule="auto"/>
              <w:rPr>
                <w:rFonts w:cs="Calibri"/>
                <w:sz w:val="24"/>
                <w:szCs w:val="24"/>
              </w:rPr>
            </w:pPr>
            <w:r>
              <w:rPr>
                <w:rFonts w:cs="Calibri"/>
                <w:sz w:val="24"/>
                <w:szCs w:val="24"/>
              </w:rPr>
              <w:t>Toys will be washed immediately if they have been sneezed on, mouthed or soiled and discarded if cleaning isn’t practicable</w:t>
            </w:r>
            <w:r w:rsidR="00E92D91">
              <w:rPr>
                <w:rFonts w:cs="Calibri"/>
                <w:sz w:val="24"/>
                <w:szCs w:val="24"/>
              </w:rPr>
              <w:t xml:space="preserve"> or effective</w:t>
            </w:r>
            <w:r>
              <w:rPr>
                <w:rFonts w:cs="Calibri"/>
                <w:sz w:val="24"/>
                <w:szCs w:val="24"/>
              </w:rPr>
              <w:t xml:space="preserve">. </w:t>
            </w:r>
          </w:p>
          <w:p w14:paraId="3231BCC2" w14:textId="69964A67" w:rsidR="001C3672" w:rsidRDefault="001C3672" w:rsidP="0083556C">
            <w:pPr>
              <w:numPr>
                <w:ilvl w:val="0"/>
                <w:numId w:val="15"/>
              </w:numPr>
              <w:spacing w:after="0" w:line="276" w:lineRule="auto"/>
              <w:rPr>
                <w:rFonts w:cs="Calibri"/>
                <w:sz w:val="24"/>
                <w:szCs w:val="24"/>
              </w:rPr>
            </w:pPr>
            <w:r>
              <w:rPr>
                <w:rFonts w:cs="Calibri"/>
                <w:sz w:val="24"/>
                <w:szCs w:val="24"/>
              </w:rPr>
              <w:t>Al</w:t>
            </w:r>
            <w:r w:rsidR="00E92D91">
              <w:rPr>
                <w:rFonts w:cs="Calibri"/>
                <w:sz w:val="24"/>
                <w:szCs w:val="24"/>
              </w:rPr>
              <w:t>l toys</w:t>
            </w:r>
            <w:r>
              <w:rPr>
                <w:rFonts w:cs="Calibri"/>
                <w:sz w:val="24"/>
                <w:szCs w:val="24"/>
              </w:rPr>
              <w:t xml:space="preserve"> will be washed throughout each term, unless stated otherwise in the cleaning regime</w:t>
            </w:r>
            <w:r w:rsidR="00E92D91">
              <w:rPr>
                <w:rFonts w:cs="Calibri"/>
                <w:sz w:val="24"/>
                <w:szCs w:val="24"/>
              </w:rPr>
              <w:t xml:space="preserve"> (For example, if they haven’t been used)</w:t>
            </w:r>
            <w:r>
              <w:rPr>
                <w:rFonts w:cs="Calibri"/>
                <w:sz w:val="24"/>
                <w:szCs w:val="24"/>
              </w:rPr>
              <w:t xml:space="preserve">. </w:t>
            </w:r>
          </w:p>
          <w:p w14:paraId="2AD5CF54" w14:textId="021BBB53" w:rsidR="0083556C" w:rsidRDefault="00E92D91" w:rsidP="0083556C">
            <w:pPr>
              <w:numPr>
                <w:ilvl w:val="0"/>
                <w:numId w:val="15"/>
              </w:numPr>
              <w:spacing w:after="0" w:line="276" w:lineRule="auto"/>
              <w:rPr>
                <w:rFonts w:cs="Calibri"/>
                <w:sz w:val="24"/>
                <w:szCs w:val="24"/>
              </w:rPr>
            </w:pPr>
            <w:r>
              <w:rPr>
                <w:rFonts w:cs="Calibri"/>
                <w:sz w:val="24"/>
                <w:szCs w:val="24"/>
              </w:rPr>
              <w:t>Some t</w:t>
            </w:r>
            <w:r w:rsidR="0083556C">
              <w:rPr>
                <w:rFonts w:cs="Calibri"/>
                <w:sz w:val="24"/>
                <w:szCs w:val="24"/>
              </w:rPr>
              <w:t>oys can be washed by placing in a laundry bag and using the dishwasher</w:t>
            </w:r>
            <w:r>
              <w:rPr>
                <w:rFonts w:cs="Calibri"/>
                <w:sz w:val="24"/>
                <w:szCs w:val="24"/>
              </w:rPr>
              <w:t>. These can be dried by hanging the bag outdoors or placing on a mat in direct sunlight.</w:t>
            </w:r>
          </w:p>
          <w:p w14:paraId="7CEE1E04" w14:textId="069F870B" w:rsidR="00E92D91" w:rsidRDefault="00E92D91" w:rsidP="0083556C">
            <w:pPr>
              <w:numPr>
                <w:ilvl w:val="0"/>
                <w:numId w:val="15"/>
              </w:numPr>
              <w:spacing w:after="0" w:line="276" w:lineRule="auto"/>
              <w:rPr>
                <w:rFonts w:cs="Calibri"/>
                <w:sz w:val="24"/>
                <w:szCs w:val="24"/>
              </w:rPr>
            </w:pPr>
            <w:r>
              <w:rPr>
                <w:rFonts w:cs="Calibri"/>
                <w:sz w:val="24"/>
                <w:szCs w:val="24"/>
              </w:rPr>
              <w:t>Larger toys can be wiped over with any of the recommended cleaning products (listed below).</w:t>
            </w:r>
          </w:p>
          <w:p w14:paraId="4B8E67AD" w14:textId="1E75B5BB" w:rsidR="001C3672" w:rsidRDefault="001C3672" w:rsidP="0083556C">
            <w:pPr>
              <w:numPr>
                <w:ilvl w:val="0"/>
                <w:numId w:val="15"/>
              </w:numPr>
              <w:spacing w:after="0" w:line="276" w:lineRule="auto"/>
              <w:rPr>
                <w:rFonts w:cs="Calibri"/>
                <w:sz w:val="24"/>
                <w:szCs w:val="24"/>
              </w:rPr>
            </w:pPr>
            <w:r>
              <w:rPr>
                <w:rFonts w:cs="Calibri"/>
                <w:sz w:val="24"/>
                <w:szCs w:val="24"/>
              </w:rPr>
              <w:t>Keep a r</w:t>
            </w:r>
            <w:r w:rsidRPr="001C3672">
              <w:rPr>
                <w:rFonts w:cs="Calibri"/>
                <w:sz w:val="24"/>
                <w:szCs w:val="24"/>
              </w:rPr>
              <w:t xml:space="preserve">ecord </w:t>
            </w:r>
            <w:r>
              <w:rPr>
                <w:rFonts w:cs="Calibri"/>
                <w:sz w:val="24"/>
                <w:szCs w:val="24"/>
              </w:rPr>
              <w:t xml:space="preserve">of </w:t>
            </w:r>
            <w:r w:rsidR="00E92D91">
              <w:rPr>
                <w:rFonts w:cs="Calibri"/>
                <w:sz w:val="24"/>
                <w:szCs w:val="24"/>
              </w:rPr>
              <w:t xml:space="preserve">the date </w:t>
            </w:r>
            <w:r>
              <w:rPr>
                <w:rFonts w:cs="Calibri"/>
                <w:sz w:val="24"/>
                <w:szCs w:val="24"/>
              </w:rPr>
              <w:t>toys</w:t>
            </w:r>
            <w:r w:rsidR="00E92D91">
              <w:rPr>
                <w:rFonts w:cs="Calibri"/>
                <w:sz w:val="24"/>
                <w:szCs w:val="24"/>
              </w:rPr>
              <w:t xml:space="preserve"> have been cleaned</w:t>
            </w:r>
            <w:r>
              <w:rPr>
                <w:rFonts w:cs="Calibri"/>
                <w:sz w:val="24"/>
                <w:szCs w:val="24"/>
              </w:rPr>
              <w:t xml:space="preserve"> (SLSO to complete)</w:t>
            </w:r>
            <w:r w:rsidR="00E92D91">
              <w:rPr>
                <w:rFonts w:cs="Calibri"/>
                <w:sz w:val="24"/>
                <w:szCs w:val="24"/>
              </w:rPr>
              <w:t>.</w:t>
            </w:r>
          </w:p>
          <w:p w14:paraId="4673806B" w14:textId="75E98381" w:rsidR="001C3672" w:rsidRDefault="001C3672" w:rsidP="001C3672">
            <w:pPr>
              <w:spacing w:after="0" w:line="276" w:lineRule="auto"/>
              <w:ind w:left="720"/>
              <w:rPr>
                <w:rFonts w:cs="Calibri"/>
                <w:sz w:val="24"/>
                <w:szCs w:val="24"/>
              </w:rPr>
            </w:pPr>
          </w:p>
          <w:p w14:paraId="5C8859CA" w14:textId="2CBFF686" w:rsidR="001C3672" w:rsidRPr="001C3672" w:rsidRDefault="001C3672" w:rsidP="001C3672">
            <w:pPr>
              <w:spacing w:after="0" w:line="276" w:lineRule="auto"/>
              <w:rPr>
                <w:rFonts w:cs="Calibri"/>
                <w:b/>
                <w:sz w:val="24"/>
                <w:szCs w:val="24"/>
              </w:rPr>
            </w:pPr>
            <w:r w:rsidRPr="001C3672">
              <w:rPr>
                <w:rFonts w:cs="Calibri"/>
                <w:b/>
                <w:sz w:val="24"/>
                <w:szCs w:val="24"/>
              </w:rPr>
              <w:t>Outdoor cleaning</w:t>
            </w:r>
          </w:p>
          <w:p w14:paraId="2A661E9C" w14:textId="2A4EE1E4" w:rsidR="0083556C" w:rsidRPr="0083556C" w:rsidRDefault="0083556C" w:rsidP="0083556C">
            <w:pPr>
              <w:numPr>
                <w:ilvl w:val="0"/>
                <w:numId w:val="15"/>
              </w:numPr>
              <w:spacing w:after="0" w:line="276" w:lineRule="auto"/>
              <w:rPr>
                <w:rFonts w:cs="Calibri"/>
                <w:sz w:val="24"/>
                <w:szCs w:val="24"/>
              </w:rPr>
            </w:pPr>
            <w:r>
              <w:rPr>
                <w:rFonts w:cs="Calibri"/>
                <w:sz w:val="24"/>
                <w:szCs w:val="24"/>
              </w:rPr>
              <w:t xml:space="preserve">Outdoor toys are to be washed based on a roster </w:t>
            </w:r>
            <w:r w:rsidR="00E92D91">
              <w:rPr>
                <w:rFonts w:cs="Calibri"/>
                <w:sz w:val="24"/>
                <w:szCs w:val="24"/>
              </w:rPr>
              <w:t>and itemised list for</w:t>
            </w:r>
            <w:r>
              <w:rPr>
                <w:rFonts w:cs="Calibri"/>
                <w:sz w:val="24"/>
                <w:szCs w:val="24"/>
              </w:rPr>
              <w:t xml:space="preserve"> each storage shed. Children can be involved in this process. </w:t>
            </w:r>
          </w:p>
          <w:p w14:paraId="78924478" w14:textId="2AC18627" w:rsidR="001C3672" w:rsidRPr="001C3672" w:rsidRDefault="0083556C" w:rsidP="0083556C">
            <w:pPr>
              <w:pStyle w:val="ListParagraph"/>
              <w:numPr>
                <w:ilvl w:val="0"/>
                <w:numId w:val="15"/>
              </w:numPr>
              <w:spacing w:after="0"/>
              <w:rPr>
                <w:rFonts w:cs="Calibri"/>
                <w:sz w:val="24"/>
                <w:szCs w:val="24"/>
              </w:rPr>
            </w:pPr>
            <w:r>
              <w:rPr>
                <w:rFonts w:cs="Calibri"/>
                <w:sz w:val="24"/>
                <w:szCs w:val="24"/>
              </w:rPr>
              <w:t>Warm soapy water and drying in the sun</w:t>
            </w:r>
            <w:r w:rsidR="00E92D91">
              <w:rPr>
                <w:rFonts w:cs="Calibri"/>
                <w:sz w:val="24"/>
                <w:szCs w:val="24"/>
              </w:rPr>
              <w:t xml:space="preserve"> is the most effective method.</w:t>
            </w:r>
          </w:p>
          <w:p w14:paraId="3C741680" w14:textId="77777777" w:rsidR="001C3672" w:rsidRPr="001C3672" w:rsidRDefault="001C3672" w:rsidP="001C3672">
            <w:pPr>
              <w:spacing w:after="0" w:line="276" w:lineRule="auto"/>
              <w:ind w:left="720"/>
              <w:rPr>
                <w:rFonts w:cs="Calibri"/>
                <w:sz w:val="24"/>
                <w:szCs w:val="24"/>
              </w:rPr>
            </w:pPr>
          </w:p>
          <w:p w14:paraId="581259DE" w14:textId="2ACAB87B" w:rsidR="001C3672" w:rsidRPr="00F4533B" w:rsidRDefault="00E92D91" w:rsidP="001C3672">
            <w:pPr>
              <w:spacing w:after="0"/>
              <w:rPr>
                <w:rFonts w:cs="Calibri"/>
                <w:b/>
                <w:sz w:val="24"/>
                <w:szCs w:val="24"/>
              </w:rPr>
            </w:pPr>
            <w:r>
              <w:rPr>
                <w:rFonts w:cs="Calibri"/>
                <w:b/>
                <w:sz w:val="24"/>
                <w:szCs w:val="24"/>
              </w:rPr>
              <w:t>Recommended Cleaning Products</w:t>
            </w:r>
          </w:p>
          <w:p w14:paraId="530E810C" w14:textId="77777777" w:rsidR="001C3672" w:rsidRDefault="001C3672" w:rsidP="0083556C">
            <w:pPr>
              <w:numPr>
                <w:ilvl w:val="0"/>
                <w:numId w:val="15"/>
              </w:numPr>
              <w:spacing w:after="0" w:line="276" w:lineRule="auto"/>
              <w:rPr>
                <w:rFonts w:cs="Calibri"/>
                <w:sz w:val="24"/>
                <w:szCs w:val="24"/>
              </w:rPr>
            </w:pPr>
            <w:r>
              <w:rPr>
                <w:rFonts w:cs="Calibri"/>
                <w:sz w:val="24"/>
                <w:szCs w:val="24"/>
              </w:rPr>
              <w:t>Detergent and water</w:t>
            </w:r>
          </w:p>
          <w:p w14:paraId="6E799CAC" w14:textId="3FC1591F" w:rsidR="001C3672" w:rsidRDefault="001C3672" w:rsidP="0083556C">
            <w:pPr>
              <w:numPr>
                <w:ilvl w:val="0"/>
                <w:numId w:val="15"/>
              </w:numPr>
              <w:spacing w:after="0" w:line="276" w:lineRule="auto"/>
              <w:rPr>
                <w:rFonts w:cs="Calibri"/>
                <w:sz w:val="24"/>
                <w:szCs w:val="24"/>
              </w:rPr>
            </w:pPr>
            <w:r w:rsidRPr="55C6F521">
              <w:rPr>
                <w:rFonts w:cs="Calibri"/>
                <w:sz w:val="24"/>
                <w:szCs w:val="24"/>
              </w:rPr>
              <w:t xml:space="preserve">Eucalyptus/Tea Tree or </w:t>
            </w:r>
            <w:r w:rsidR="2640F1F3" w:rsidRPr="55C6F521">
              <w:rPr>
                <w:rFonts w:cs="Calibri"/>
                <w:sz w:val="24"/>
                <w:szCs w:val="24"/>
              </w:rPr>
              <w:t>Lavender</w:t>
            </w:r>
            <w:r w:rsidRPr="55C6F521">
              <w:rPr>
                <w:rFonts w:cs="Calibri"/>
                <w:sz w:val="24"/>
                <w:szCs w:val="24"/>
              </w:rPr>
              <w:t xml:space="preserve"> oil (diluted in water 1 drop per 100ml water)</w:t>
            </w:r>
          </w:p>
          <w:p w14:paraId="4A7C613A" w14:textId="77777777" w:rsidR="001C3672" w:rsidRDefault="001C3672" w:rsidP="0083556C">
            <w:pPr>
              <w:numPr>
                <w:ilvl w:val="0"/>
                <w:numId w:val="15"/>
              </w:numPr>
              <w:spacing w:after="0" w:line="276" w:lineRule="auto"/>
              <w:rPr>
                <w:rFonts w:cs="Calibri"/>
                <w:sz w:val="24"/>
                <w:szCs w:val="24"/>
              </w:rPr>
            </w:pPr>
            <w:r>
              <w:rPr>
                <w:rFonts w:cs="Calibri"/>
                <w:sz w:val="24"/>
                <w:szCs w:val="24"/>
              </w:rPr>
              <w:t>Vinegar (diluted 1:10 in water)</w:t>
            </w:r>
          </w:p>
          <w:p w14:paraId="20AAD9E5" w14:textId="77777777" w:rsidR="001C3672" w:rsidRDefault="001C3672" w:rsidP="0083556C">
            <w:pPr>
              <w:numPr>
                <w:ilvl w:val="0"/>
                <w:numId w:val="15"/>
              </w:numPr>
              <w:spacing w:after="0" w:line="276" w:lineRule="auto"/>
              <w:rPr>
                <w:rFonts w:cs="Calibri"/>
                <w:sz w:val="24"/>
                <w:szCs w:val="24"/>
              </w:rPr>
            </w:pPr>
            <w:r>
              <w:rPr>
                <w:rFonts w:cs="Calibri"/>
                <w:sz w:val="24"/>
                <w:szCs w:val="24"/>
              </w:rPr>
              <w:t>Lemon juice</w:t>
            </w:r>
          </w:p>
          <w:p w14:paraId="5575E847" w14:textId="77777777" w:rsidR="001C3672" w:rsidRDefault="001C3672" w:rsidP="0083556C">
            <w:pPr>
              <w:numPr>
                <w:ilvl w:val="0"/>
                <w:numId w:val="15"/>
              </w:numPr>
              <w:spacing w:after="0" w:line="276" w:lineRule="auto"/>
              <w:rPr>
                <w:rFonts w:cs="Calibri"/>
                <w:sz w:val="24"/>
                <w:szCs w:val="24"/>
              </w:rPr>
            </w:pPr>
            <w:r>
              <w:rPr>
                <w:rFonts w:cs="Calibri"/>
                <w:sz w:val="24"/>
                <w:szCs w:val="24"/>
              </w:rPr>
              <w:t xml:space="preserve">Water </w:t>
            </w:r>
          </w:p>
          <w:p w14:paraId="275CCD94" w14:textId="7940F7EC" w:rsidR="001C3672" w:rsidRDefault="001C3672" w:rsidP="001C3672">
            <w:pPr>
              <w:spacing w:after="0"/>
              <w:rPr>
                <w:rFonts w:cs="Calibri"/>
                <w:sz w:val="24"/>
                <w:szCs w:val="24"/>
              </w:rPr>
            </w:pPr>
          </w:p>
          <w:p w14:paraId="4C74114B" w14:textId="77777777" w:rsidR="00EB7469" w:rsidRDefault="00EB7469" w:rsidP="001C3672">
            <w:pPr>
              <w:spacing w:after="0"/>
              <w:rPr>
                <w:rFonts w:cs="Calibri"/>
                <w:sz w:val="24"/>
                <w:szCs w:val="24"/>
              </w:rPr>
            </w:pPr>
          </w:p>
          <w:p w14:paraId="2E475BD1" w14:textId="77777777" w:rsidR="001C3672" w:rsidRDefault="001C3672" w:rsidP="001C3672">
            <w:pPr>
              <w:spacing w:after="0"/>
              <w:rPr>
                <w:rFonts w:cs="Calibri"/>
                <w:sz w:val="24"/>
                <w:szCs w:val="24"/>
              </w:rPr>
            </w:pPr>
            <w:r w:rsidRPr="00F4533B">
              <w:rPr>
                <w:rFonts w:cs="Calibri"/>
                <w:b/>
                <w:sz w:val="24"/>
                <w:szCs w:val="24"/>
              </w:rPr>
              <w:t>Wooden Toys/Puzzles</w:t>
            </w:r>
            <w:r>
              <w:rPr>
                <w:rFonts w:cs="Calibri"/>
                <w:sz w:val="24"/>
                <w:szCs w:val="24"/>
              </w:rPr>
              <w:t xml:space="preserve"> </w:t>
            </w:r>
          </w:p>
          <w:p w14:paraId="029A2B7C" w14:textId="77777777" w:rsidR="001C3672" w:rsidRPr="001C3672" w:rsidRDefault="001C3672" w:rsidP="0083556C">
            <w:pPr>
              <w:pStyle w:val="ListParagraph"/>
              <w:numPr>
                <w:ilvl w:val="0"/>
                <w:numId w:val="15"/>
              </w:numPr>
              <w:spacing w:after="0"/>
              <w:rPr>
                <w:rFonts w:cs="Calibri"/>
                <w:sz w:val="24"/>
                <w:szCs w:val="24"/>
              </w:rPr>
            </w:pPr>
            <w:r w:rsidRPr="001C3672">
              <w:rPr>
                <w:rFonts w:cs="Calibri"/>
                <w:sz w:val="24"/>
                <w:szCs w:val="24"/>
              </w:rPr>
              <w:t>Wipe over with a damp cloth (Do not immerse in water)</w:t>
            </w:r>
          </w:p>
          <w:p w14:paraId="6F82DD41" w14:textId="77777777" w:rsidR="001C3672" w:rsidRDefault="001C3672" w:rsidP="001C3672">
            <w:pPr>
              <w:spacing w:after="0"/>
              <w:rPr>
                <w:rFonts w:cs="Calibri"/>
                <w:b/>
                <w:sz w:val="24"/>
                <w:szCs w:val="24"/>
              </w:rPr>
            </w:pPr>
          </w:p>
          <w:p w14:paraId="0A6F0313" w14:textId="77777777" w:rsidR="001C3672" w:rsidRDefault="001C3672" w:rsidP="001C3672">
            <w:pPr>
              <w:spacing w:after="0"/>
              <w:rPr>
                <w:rFonts w:cs="Calibri"/>
                <w:b/>
                <w:sz w:val="24"/>
                <w:szCs w:val="24"/>
              </w:rPr>
            </w:pPr>
            <w:r>
              <w:rPr>
                <w:rFonts w:cs="Calibri"/>
                <w:b/>
                <w:sz w:val="24"/>
                <w:szCs w:val="24"/>
              </w:rPr>
              <w:t>Evaluation</w:t>
            </w:r>
          </w:p>
          <w:p w14:paraId="5FD5AF11" w14:textId="7B935FC5" w:rsidR="001C3672" w:rsidRPr="007F76F6" w:rsidRDefault="001C3672" w:rsidP="001C3672">
            <w:pPr>
              <w:spacing w:after="0"/>
              <w:rPr>
                <w:rFonts w:cs="Calibri"/>
                <w:sz w:val="24"/>
                <w:szCs w:val="24"/>
              </w:rPr>
            </w:pPr>
            <w:r w:rsidRPr="65A1716D">
              <w:rPr>
                <w:rFonts w:cs="Calibri"/>
                <w:sz w:val="24"/>
                <w:szCs w:val="24"/>
              </w:rPr>
              <w:t>We aim to provide a clean environment in</w:t>
            </w:r>
            <w:bookmarkStart w:id="0" w:name="_GoBack"/>
            <w:bookmarkEnd w:id="0"/>
            <w:r w:rsidRPr="65A1716D">
              <w:rPr>
                <w:rFonts w:cs="Calibri"/>
                <w:sz w:val="24"/>
                <w:szCs w:val="24"/>
              </w:rPr>
              <w:t xml:space="preserve"> order to reduce the spread of infection and disease and for all </w:t>
            </w:r>
            <w:r w:rsidRPr="007F76F6">
              <w:rPr>
                <w:rFonts w:cs="Calibri"/>
                <w:sz w:val="24"/>
                <w:szCs w:val="24"/>
              </w:rPr>
              <w:t>children and educators in attendance at our service.</w:t>
            </w:r>
            <w:r w:rsidR="3F12910F" w:rsidRPr="007F76F6">
              <w:rPr>
                <w:rFonts w:cs="Calibri"/>
                <w:sz w:val="24"/>
                <w:szCs w:val="24"/>
              </w:rPr>
              <w:t xml:space="preserve"> </w:t>
            </w:r>
          </w:p>
          <w:p w14:paraId="45BB3883" w14:textId="2583073E" w:rsidR="3F12910F" w:rsidRPr="007F76F6" w:rsidRDefault="3F12910F" w:rsidP="65A1716D">
            <w:pPr>
              <w:spacing w:after="0"/>
              <w:rPr>
                <w:rFonts w:cs="Calibri"/>
                <w:sz w:val="24"/>
                <w:szCs w:val="24"/>
              </w:rPr>
            </w:pPr>
            <w:r w:rsidRPr="007F76F6">
              <w:rPr>
                <w:rFonts w:cs="Calibri"/>
                <w:sz w:val="24"/>
                <w:szCs w:val="24"/>
              </w:rPr>
              <w:t xml:space="preserve">All staff follow the </w:t>
            </w:r>
            <w:r w:rsidR="6B2DE591" w:rsidRPr="007F76F6">
              <w:rPr>
                <w:rFonts w:cs="Calibri"/>
                <w:sz w:val="24"/>
                <w:szCs w:val="24"/>
              </w:rPr>
              <w:t xml:space="preserve">DoE “Effective health and hygiene practices during COVID-19 pandemic” </w:t>
            </w:r>
            <w:r w:rsidR="202BD99C" w:rsidRPr="007F76F6">
              <w:rPr>
                <w:rFonts w:cs="Calibri"/>
                <w:sz w:val="24"/>
                <w:szCs w:val="24"/>
              </w:rPr>
              <w:t>(</w:t>
            </w:r>
            <w:r w:rsidR="6B2DE591" w:rsidRPr="007F76F6">
              <w:rPr>
                <w:rFonts w:cs="Calibri"/>
                <w:sz w:val="24"/>
                <w:szCs w:val="24"/>
              </w:rPr>
              <w:t>attached here as an appendix item</w:t>
            </w:r>
            <w:r w:rsidR="3F5ED10D" w:rsidRPr="007F76F6">
              <w:rPr>
                <w:rFonts w:cs="Calibri"/>
                <w:sz w:val="24"/>
                <w:szCs w:val="24"/>
              </w:rPr>
              <w:t>) correctly</w:t>
            </w:r>
            <w:r w:rsidR="0028E5A6" w:rsidRPr="007F76F6">
              <w:rPr>
                <w:rFonts w:cs="Calibri"/>
                <w:sz w:val="24"/>
                <w:szCs w:val="24"/>
              </w:rPr>
              <w:t xml:space="preserve"> </w:t>
            </w:r>
            <w:r w:rsidR="3F5ED10D" w:rsidRPr="007F76F6">
              <w:rPr>
                <w:rFonts w:cs="Calibri"/>
                <w:sz w:val="24"/>
                <w:szCs w:val="24"/>
              </w:rPr>
              <w:t xml:space="preserve">and </w:t>
            </w:r>
            <w:r w:rsidR="7B6AC4CD" w:rsidRPr="007F76F6">
              <w:rPr>
                <w:rFonts w:cs="Calibri"/>
                <w:sz w:val="24"/>
                <w:szCs w:val="24"/>
              </w:rPr>
              <w:t>inhibit the ‘chain of infection’</w:t>
            </w:r>
            <w:r w:rsidR="6B2DE591" w:rsidRPr="007F76F6">
              <w:rPr>
                <w:rFonts w:cs="Calibri"/>
                <w:sz w:val="24"/>
                <w:szCs w:val="24"/>
              </w:rPr>
              <w:t>.</w:t>
            </w:r>
          </w:p>
          <w:p w14:paraId="23A9FDBD" w14:textId="77777777" w:rsidR="001C3672" w:rsidRPr="00825BEC" w:rsidRDefault="001C3672" w:rsidP="001C3672">
            <w:pPr>
              <w:spacing w:after="0"/>
              <w:rPr>
                <w:rFonts w:cs="Calibri"/>
                <w:b/>
                <w:sz w:val="24"/>
                <w:szCs w:val="24"/>
              </w:rPr>
            </w:pPr>
          </w:p>
          <w:p w14:paraId="599564E3" w14:textId="77777777" w:rsidR="001C3672" w:rsidRPr="00A84E30" w:rsidRDefault="001C3672" w:rsidP="65A1716D">
            <w:pPr>
              <w:spacing w:after="0"/>
              <w:rPr>
                <w:rFonts w:cs="Calibri"/>
                <w:b/>
                <w:bCs/>
                <w:sz w:val="24"/>
                <w:szCs w:val="24"/>
              </w:rPr>
            </w:pPr>
            <w:r w:rsidRPr="65A1716D">
              <w:rPr>
                <w:rFonts w:cs="Calibri"/>
                <w:b/>
                <w:bCs/>
                <w:sz w:val="24"/>
                <w:szCs w:val="24"/>
              </w:rPr>
              <w:t xml:space="preserve">Review </w:t>
            </w:r>
          </w:p>
          <w:p w14:paraId="534C4D34" w14:textId="2E08AED9" w:rsidR="001C3672" w:rsidRDefault="001C3672" w:rsidP="65A1716D">
            <w:pPr>
              <w:pStyle w:val="ListParagraph"/>
              <w:ind w:left="0"/>
              <w:rPr>
                <w:sz w:val="24"/>
                <w:szCs w:val="24"/>
              </w:rPr>
            </w:pPr>
            <w:r w:rsidRPr="65A1716D">
              <w:rPr>
                <w:sz w:val="24"/>
                <w:szCs w:val="24"/>
              </w:rPr>
              <w:t xml:space="preserve">Management and staff will monitor and review the effectiveness of this policy at regular intervals throughout the year. Waratah Public School Preschool's Procedures must be reviewed and updated every 12 months. </w:t>
            </w:r>
            <w:r w:rsidRPr="65A1716D">
              <w:rPr>
                <w:b/>
                <w:bCs/>
                <w:sz w:val="24"/>
                <w:szCs w:val="24"/>
                <w:u w:val="single"/>
              </w:rPr>
              <w:t>Due for review in February</w:t>
            </w:r>
            <w:r w:rsidR="0083556C" w:rsidRPr="65A1716D">
              <w:rPr>
                <w:b/>
                <w:bCs/>
                <w:sz w:val="24"/>
                <w:szCs w:val="24"/>
                <w:u w:val="single"/>
              </w:rPr>
              <w:t xml:space="preserve"> 2021</w:t>
            </w:r>
            <w:r w:rsidRPr="65A1716D">
              <w:rPr>
                <w:sz w:val="24"/>
                <w:szCs w:val="24"/>
              </w:rPr>
              <w:t>.</w:t>
            </w:r>
          </w:p>
          <w:p w14:paraId="40E51676" w14:textId="2CBF255A" w:rsidR="00682C2E" w:rsidRPr="00780FA1" w:rsidRDefault="00682C2E" w:rsidP="00AD4AE9">
            <w:pPr>
              <w:pStyle w:val="ListParagraph"/>
              <w:ind w:left="0"/>
              <w:rPr>
                <w:rFonts w:ascii="Calibri" w:hAnsi="Calibri" w:cs="Calibri"/>
                <w:sz w:val="24"/>
                <w:szCs w:val="24"/>
              </w:rPr>
            </w:pPr>
          </w:p>
        </w:tc>
      </w:tr>
    </w:tbl>
    <w:p w14:paraId="3594533D" w14:textId="77777777" w:rsidR="00387AEC" w:rsidRPr="00682C2E" w:rsidRDefault="00387AEC">
      <w:pPr>
        <w:rPr>
          <w:rFonts w:ascii="Arial" w:hAnsi="Arial" w:cs="Arial"/>
          <w:sz w:val="24"/>
          <w:szCs w:val="24"/>
          <w:lang w:val="en-US"/>
        </w:rPr>
      </w:pPr>
    </w:p>
    <w:sectPr w:rsidR="00387AEC" w:rsidRPr="00682C2E" w:rsidSect="00293C49">
      <w:pgSz w:w="11906" w:h="16838"/>
      <w:pgMar w:top="107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etaPlusNormal-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lvlText w:val="%1."/>
      <w:lvlJc w:val="left"/>
      <w:pPr>
        <w:tabs>
          <w:tab w:val="num" w:pos="360"/>
        </w:tabs>
        <w:ind w:left="360" w:firstLine="0"/>
      </w:pPr>
      <w:rPr>
        <w:rFonts w:ascii="Arial" w:eastAsia="Arial Unicode MS" w:hAnsi="Arial" w:hint="default"/>
        <w:b/>
        <w:position w:val="0"/>
        <w:u w:val="single"/>
      </w:rPr>
    </w:lvl>
    <w:lvl w:ilvl="1">
      <w:start w:val="1"/>
      <w:numFmt w:val="decimal"/>
      <w:lvlText w:val="%2."/>
      <w:lvlJc w:val="left"/>
      <w:pPr>
        <w:tabs>
          <w:tab w:val="num" w:pos="360"/>
        </w:tabs>
        <w:ind w:left="360" w:firstLine="360"/>
      </w:pPr>
      <w:rPr>
        <w:rFonts w:ascii="Arial" w:eastAsia="Arial Unicode MS" w:hAnsi="Arial" w:hint="default"/>
        <w:b/>
        <w:position w:val="0"/>
        <w:u w:val="single"/>
      </w:rPr>
    </w:lvl>
    <w:lvl w:ilvl="2">
      <w:start w:val="1"/>
      <w:numFmt w:val="decimal"/>
      <w:lvlText w:val="%3."/>
      <w:lvlJc w:val="left"/>
      <w:pPr>
        <w:tabs>
          <w:tab w:val="num" w:pos="360"/>
        </w:tabs>
        <w:ind w:left="360" w:firstLine="720"/>
      </w:pPr>
      <w:rPr>
        <w:rFonts w:ascii="Arial" w:eastAsia="Arial Unicode MS" w:hAnsi="Arial" w:hint="default"/>
        <w:b/>
        <w:position w:val="0"/>
        <w:u w:val="single"/>
      </w:rPr>
    </w:lvl>
    <w:lvl w:ilvl="3">
      <w:start w:val="1"/>
      <w:numFmt w:val="decimal"/>
      <w:lvlText w:val="%4."/>
      <w:lvlJc w:val="left"/>
      <w:pPr>
        <w:tabs>
          <w:tab w:val="num" w:pos="360"/>
        </w:tabs>
        <w:ind w:left="360" w:firstLine="1080"/>
      </w:pPr>
      <w:rPr>
        <w:rFonts w:ascii="Arial" w:eastAsia="Arial Unicode MS" w:hAnsi="Arial" w:hint="default"/>
        <w:b/>
        <w:position w:val="0"/>
        <w:u w:val="single"/>
      </w:rPr>
    </w:lvl>
    <w:lvl w:ilvl="4">
      <w:start w:val="1"/>
      <w:numFmt w:val="decimal"/>
      <w:lvlText w:val="%5."/>
      <w:lvlJc w:val="left"/>
      <w:pPr>
        <w:tabs>
          <w:tab w:val="num" w:pos="360"/>
        </w:tabs>
        <w:ind w:left="360" w:firstLine="1440"/>
      </w:pPr>
      <w:rPr>
        <w:rFonts w:ascii="Arial" w:eastAsia="Arial Unicode MS" w:hAnsi="Arial" w:hint="default"/>
        <w:b/>
        <w:position w:val="0"/>
        <w:u w:val="single"/>
      </w:rPr>
    </w:lvl>
    <w:lvl w:ilvl="5">
      <w:start w:val="1"/>
      <w:numFmt w:val="decimal"/>
      <w:lvlText w:val="%6."/>
      <w:lvlJc w:val="left"/>
      <w:pPr>
        <w:tabs>
          <w:tab w:val="num" w:pos="360"/>
        </w:tabs>
        <w:ind w:left="360" w:firstLine="1800"/>
      </w:pPr>
      <w:rPr>
        <w:rFonts w:ascii="Arial" w:eastAsia="Arial Unicode MS" w:hAnsi="Arial" w:hint="default"/>
        <w:b/>
        <w:position w:val="0"/>
        <w:u w:val="single"/>
      </w:rPr>
    </w:lvl>
    <w:lvl w:ilvl="6">
      <w:start w:val="1"/>
      <w:numFmt w:val="decimal"/>
      <w:lvlText w:val="%7."/>
      <w:lvlJc w:val="left"/>
      <w:pPr>
        <w:tabs>
          <w:tab w:val="num" w:pos="360"/>
        </w:tabs>
        <w:ind w:left="360" w:firstLine="2160"/>
      </w:pPr>
      <w:rPr>
        <w:rFonts w:ascii="Arial" w:eastAsia="Arial Unicode MS" w:hAnsi="Arial" w:hint="default"/>
        <w:b/>
        <w:position w:val="0"/>
        <w:u w:val="single"/>
      </w:rPr>
    </w:lvl>
    <w:lvl w:ilvl="7">
      <w:start w:val="1"/>
      <w:numFmt w:val="decimal"/>
      <w:lvlText w:val="%8."/>
      <w:lvlJc w:val="left"/>
      <w:pPr>
        <w:tabs>
          <w:tab w:val="num" w:pos="360"/>
        </w:tabs>
        <w:ind w:left="360" w:firstLine="2520"/>
      </w:pPr>
      <w:rPr>
        <w:rFonts w:ascii="Arial" w:eastAsia="Arial Unicode MS" w:hAnsi="Arial" w:hint="default"/>
        <w:b/>
        <w:position w:val="0"/>
        <w:u w:val="single"/>
      </w:rPr>
    </w:lvl>
    <w:lvl w:ilvl="8">
      <w:start w:val="1"/>
      <w:numFmt w:val="decimal"/>
      <w:lvlText w:val="%9."/>
      <w:lvlJc w:val="left"/>
      <w:pPr>
        <w:tabs>
          <w:tab w:val="num" w:pos="360"/>
        </w:tabs>
        <w:ind w:left="360" w:firstLine="2880"/>
      </w:pPr>
      <w:rPr>
        <w:rFonts w:ascii="Arial" w:eastAsia="Arial Unicode MS" w:hAnsi="Arial" w:hint="default"/>
        <w:b/>
        <w:position w:val="0"/>
        <w:u w:val="single"/>
      </w:r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1BA0659"/>
    <w:multiLevelType w:val="multilevel"/>
    <w:tmpl w:val="57B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611D49"/>
    <w:multiLevelType w:val="hybridMultilevel"/>
    <w:tmpl w:val="53EE27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967FB1"/>
    <w:multiLevelType w:val="hybridMultilevel"/>
    <w:tmpl w:val="A9F4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2903DA"/>
    <w:multiLevelType w:val="hybridMultilevel"/>
    <w:tmpl w:val="E47884E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DD62D9C"/>
    <w:multiLevelType w:val="hybridMultilevel"/>
    <w:tmpl w:val="97CE2BA2"/>
    <w:lvl w:ilvl="0" w:tplc="7FC87D54">
      <w:start w:val="1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7C3F90"/>
    <w:multiLevelType w:val="multilevel"/>
    <w:tmpl w:val="8756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121F3"/>
    <w:multiLevelType w:val="hybridMultilevel"/>
    <w:tmpl w:val="991E9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2613846"/>
    <w:multiLevelType w:val="hybridMultilevel"/>
    <w:tmpl w:val="749E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13"/>
  </w:num>
  <w:num w:numId="5">
    <w:abstractNumId w:val="9"/>
  </w:num>
  <w:num w:numId="6">
    <w:abstractNumId w:val="18"/>
  </w:num>
  <w:num w:numId="7">
    <w:abstractNumId w:val="2"/>
  </w:num>
  <w:num w:numId="8">
    <w:abstractNumId w:val="1"/>
  </w:num>
  <w:num w:numId="9">
    <w:abstractNumId w:val="11"/>
  </w:num>
  <w:num w:numId="10">
    <w:abstractNumId w:val="3"/>
  </w:num>
  <w:num w:numId="11">
    <w:abstractNumId w:val="16"/>
  </w:num>
  <w:num w:numId="12">
    <w:abstractNumId w:val="15"/>
  </w:num>
  <w:num w:numId="13">
    <w:abstractNumId w:val="19"/>
  </w:num>
  <w:num w:numId="14">
    <w:abstractNumId w:val="6"/>
  </w:num>
  <w:num w:numId="15">
    <w:abstractNumId w:val="17"/>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EC"/>
    <w:rsid w:val="0003449E"/>
    <w:rsid w:val="000879EE"/>
    <w:rsid w:val="000A06B6"/>
    <w:rsid w:val="000C32DE"/>
    <w:rsid w:val="00111C3F"/>
    <w:rsid w:val="0016232C"/>
    <w:rsid w:val="001676EE"/>
    <w:rsid w:val="00174781"/>
    <w:rsid w:val="00195028"/>
    <w:rsid w:val="001B7DBA"/>
    <w:rsid w:val="001C3672"/>
    <w:rsid w:val="001D3BEE"/>
    <w:rsid w:val="00260455"/>
    <w:rsid w:val="0028E5A6"/>
    <w:rsid w:val="00293C49"/>
    <w:rsid w:val="00296E2B"/>
    <w:rsid w:val="002B4B1D"/>
    <w:rsid w:val="002F5D50"/>
    <w:rsid w:val="00357296"/>
    <w:rsid w:val="00365CD3"/>
    <w:rsid w:val="00386A2D"/>
    <w:rsid w:val="00387AEC"/>
    <w:rsid w:val="003C2478"/>
    <w:rsid w:val="003D212C"/>
    <w:rsid w:val="0040685C"/>
    <w:rsid w:val="00454FF3"/>
    <w:rsid w:val="00455FF2"/>
    <w:rsid w:val="004826E0"/>
    <w:rsid w:val="00496CFB"/>
    <w:rsid w:val="00501E2D"/>
    <w:rsid w:val="00522F4D"/>
    <w:rsid w:val="005523DE"/>
    <w:rsid w:val="005709B5"/>
    <w:rsid w:val="005840EB"/>
    <w:rsid w:val="006178DE"/>
    <w:rsid w:val="00682C2E"/>
    <w:rsid w:val="006D22C7"/>
    <w:rsid w:val="006F0C78"/>
    <w:rsid w:val="007306D0"/>
    <w:rsid w:val="00764BF4"/>
    <w:rsid w:val="00777FBF"/>
    <w:rsid w:val="00780FA1"/>
    <w:rsid w:val="007F76F6"/>
    <w:rsid w:val="008058F0"/>
    <w:rsid w:val="00830C4B"/>
    <w:rsid w:val="0083556C"/>
    <w:rsid w:val="00850F58"/>
    <w:rsid w:val="008542B0"/>
    <w:rsid w:val="0087654E"/>
    <w:rsid w:val="008775FC"/>
    <w:rsid w:val="008A132E"/>
    <w:rsid w:val="00905387"/>
    <w:rsid w:val="00910E38"/>
    <w:rsid w:val="00925037"/>
    <w:rsid w:val="009379AD"/>
    <w:rsid w:val="00954AE4"/>
    <w:rsid w:val="00957ECD"/>
    <w:rsid w:val="0098285E"/>
    <w:rsid w:val="009836F0"/>
    <w:rsid w:val="0099193C"/>
    <w:rsid w:val="009E0946"/>
    <w:rsid w:val="009F008D"/>
    <w:rsid w:val="00A00D26"/>
    <w:rsid w:val="00A06D47"/>
    <w:rsid w:val="00A67E4B"/>
    <w:rsid w:val="00A73636"/>
    <w:rsid w:val="00A84E30"/>
    <w:rsid w:val="00AD4AE9"/>
    <w:rsid w:val="00AE7A85"/>
    <w:rsid w:val="00B22704"/>
    <w:rsid w:val="00B731A9"/>
    <w:rsid w:val="00B81A2C"/>
    <w:rsid w:val="00C844B6"/>
    <w:rsid w:val="00CC3307"/>
    <w:rsid w:val="00CC46CB"/>
    <w:rsid w:val="00D2242E"/>
    <w:rsid w:val="00D23CF5"/>
    <w:rsid w:val="00D3260E"/>
    <w:rsid w:val="00D34CEB"/>
    <w:rsid w:val="00D40581"/>
    <w:rsid w:val="00D61D2C"/>
    <w:rsid w:val="00D71205"/>
    <w:rsid w:val="00DD6AA7"/>
    <w:rsid w:val="00E24213"/>
    <w:rsid w:val="00E2623F"/>
    <w:rsid w:val="00E35D69"/>
    <w:rsid w:val="00E567DE"/>
    <w:rsid w:val="00E6765F"/>
    <w:rsid w:val="00E74808"/>
    <w:rsid w:val="00E82A15"/>
    <w:rsid w:val="00E92D91"/>
    <w:rsid w:val="00EB7469"/>
    <w:rsid w:val="00EF4A13"/>
    <w:rsid w:val="00F02FC9"/>
    <w:rsid w:val="00F25DD9"/>
    <w:rsid w:val="00FE02EC"/>
    <w:rsid w:val="0886DDCB"/>
    <w:rsid w:val="0DC3242C"/>
    <w:rsid w:val="0F31ABA3"/>
    <w:rsid w:val="1EB73443"/>
    <w:rsid w:val="202BD99C"/>
    <w:rsid w:val="25B40FE6"/>
    <w:rsid w:val="2640F1F3"/>
    <w:rsid w:val="27D80F8A"/>
    <w:rsid w:val="2AA4AC47"/>
    <w:rsid w:val="2E65D468"/>
    <w:rsid w:val="3F12910F"/>
    <w:rsid w:val="3F5ED10D"/>
    <w:rsid w:val="435C1D15"/>
    <w:rsid w:val="55C6F521"/>
    <w:rsid w:val="5EBD6941"/>
    <w:rsid w:val="64D54B40"/>
    <w:rsid w:val="65A1716D"/>
    <w:rsid w:val="6B2DE591"/>
    <w:rsid w:val="6B3C5F5A"/>
    <w:rsid w:val="7B6AC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C2EEE6AD-0DEF-4CA3-914A-35127D3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 w:type="paragraph" w:customStyle="1" w:styleId="Body1">
    <w:name w:val="Body 1"/>
    <w:rsid w:val="009F008D"/>
    <w:pPr>
      <w:spacing w:after="0" w:line="240" w:lineRule="auto"/>
    </w:pPr>
    <w:rPr>
      <w:rFonts w:ascii="Helvetica" w:eastAsia="Arial Unicode MS" w:hAnsi="Helvetica"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curriculum/preschool/policies-and-procedures" TargetMode="External"/><Relationship Id="rId5" Type="http://schemas.openxmlformats.org/officeDocument/2006/relationships/styles" Target="styles.xml"/><Relationship Id="rId10" Type="http://schemas.openxmlformats.org/officeDocument/2006/relationships/hyperlink" Target="https://schoolsequella.det.nsw.edu.au/file/a240a1ff-d3e3-4883-92b4-a3591f4e12d7/1/leading-and-operating-department-preschool-guidelines.pdf" TargetMode="External"/><Relationship Id="rId4" Type="http://schemas.openxmlformats.org/officeDocument/2006/relationships/numbering" Target="numbering.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F09A7-89F1-427C-82A3-2F13A8A4416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3b97a7d-8b17-4edf-8791-b837b7a4e6cb"/>
    <ds:schemaRef ds:uri="http://www.w3.org/XML/1998/namespace"/>
    <ds:schemaRef ds:uri="http://purl.org/dc/dcmitype/"/>
  </ds:schemaRefs>
</ds:datastoreItem>
</file>

<file path=customXml/itemProps2.xml><?xml version="1.0" encoding="utf-8"?>
<ds:datastoreItem xmlns:ds="http://schemas.openxmlformats.org/officeDocument/2006/customXml" ds:itemID="{8A7093B3-610D-4B2C-B239-75DFAA90A577}">
  <ds:schemaRefs>
    <ds:schemaRef ds:uri="http://schemas.microsoft.com/sharepoint/v3/contenttype/forms"/>
  </ds:schemaRefs>
</ds:datastoreItem>
</file>

<file path=customXml/itemProps3.xml><?xml version="1.0" encoding="utf-8"?>
<ds:datastoreItem xmlns:ds="http://schemas.openxmlformats.org/officeDocument/2006/customXml" ds:itemID="{07426CA5-1B68-4BB8-B025-0623DBC4C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Company>NSW, Department of Education and Training</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11</cp:revision>
  <cp:lastPrinted>2020-04-01T00:58:00Z</cp:lastPrinted>
  <dcterms:created xsi:type="dcterms:W3CDTF">2020-03-30T23:26:00Z</dcterms:created>
  <dcterms:modified xsi:type="dcterms:W3CDTF">2020-07-29T02:21:00Z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