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8240"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2B0694AC" w:rsidR="00B5541C" w:rsidRPr="006275C9" w:rsidRDefault="0088112B" w:rsidP="0088112B">
      <w:pPr>
        <w:rPr>
          <w:rFonts w:ascii="Arial" w:eastAsia="Arial" w:hAnsi="Arial" w:cs="Arial"/>
          <w:b/>
          <w:color w:val="0070C0"/>
          <w:sz w:val="36"/>
          <w:szCs w:val="36"/>
        </w:rPr>
      </w:pPr>
      <w:r>
        <w:rPr>
          <w:rFonts w:ascii="Arial" w:eastAsia="Arial" w:hAnsi="Arial" w:cs="Arial"/>
          <w:b/>
          <w:color w:val="0070C0"/>
          <w:sz w:val="36"/>
          <w:szCs w:val="36"/>
        </w:rPr>
        <w:t xml:space="preserve">Excursions </w:t>
      </w:r>
      <w:r w:rsidR="00C2438E">
        <w:rPr>
          <w:rFonts w:ascii="Arial" w:eastAsia="Arial" w:hAnsi="Arial" w:cs="Arial"/>
          <w:b/>
          <w:color w:val="0070C0"/>
          <w:sz w:val="36"/>
          <w:szCs w:val="36"/>
        </w:rPr>
        <w:t>Procedure</w:t>
      </w:r>
    </w:p>
    <w:p w14:paraId="3C0BBDB2" w14:textId="10C4B360"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w:t>
      </w:r>
      <w:r w:rsidR="00270A07">
        <w:rPr>
          <w:rFonts w:ascii="Arial" w:hAnsi="Arial" w:cs="Arial"/>
          <w:b/>
          <w:color w:val="0070C0"/>
          <w:sz w:val="24"/>
          <w:szCs w:val="24"/>
          <w:lang w:val="en-US"/>
        </w:rPr>
        <w:t>8</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006275C9">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270A07" w:rsidRDefault="00242695" w:rsidP="006275C9">
            <w:pPr>
              <w:spacing w:line="240" w:lineRule="auto"/>
              <w:jc w:val="center"/>
              <w:rPr>
                <w:rFonts w:cstheme="minorHAnsi"/>
                <w:b/>
              </w:rPr>
            </w:pPr>
            <w:r w:rsidRPr="00270A07">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270A07" w:rsidRDefault="00242695" w:rsidP="006275C9">
            <w:pPr>
              <w:spacing w:line="240" w:lineRule="auto"/>
              <w:jc w:val="center"/>
              <w:rPr>
                <w:rFonts w:cstheme="minorHAnsi"/>
                <w:b/>
              </w:rPr>
            </w:pPr>
            <w:r w:rsidRPr="00270A07">
              <w:rPr>
                <w:rFonts w:eastAsia="Arial" w:cs="Arial"/>
                <w:bCs/>
                <w:lang w:bidi="en-US"/>
              </w:rPr>
              <w:t xml:space="preserve">Associated department policy, </w:t>
            </w:r>
            <w:proofErr w:type="gramStart"/>
            <w:r w:rsidRPr="00270A07">
              <w:rPr>
                <w:rFonts w:eastAsia="Arial" w:cs="Arial"/>
                <w:bCs/>
                <w:lang w:bidi="en-US"/>
              </w:rPr>
              <w:t>procedure</w:t>
            </w:r>
            <w:proofErr w:type="gramEnd"/>
            <w:r w:rsidRPr="00270A07">
              <w:rPr>
                <w:rFonts w:eastAsia="Arial" w:cs="Arial"/>
                <w:bCs/>
                <w:lang w:bidi="en-US"/>
              </w:rPr>
              <w:t xml:space="preserv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270A07" w:rsidRDefault="0002139B" w:rsidP="006275C9">
            <w:pPr>
              <w:spacing w:line="240" w:lineRule="auto"/>
              <w:jc w:val="center"/>
              <w:rPr>
                <w:rFonts w:eastAsia="Arial" w:cstheme="minorHAnsi"/>
              </w:rPr>
            </w:pPr>
            <w:hyperlink r:id="rId9" w:history="1">
              <w:r w:rsidR="006275C9" w:rsidRPr="00270A07">
                <w:rPr>
                  <w:rStyle w:val="Hyperlink"/>
                  <w:rFonts w:eastAsia="Arial" w:cstheme="minorHAnsi"/>
                </w:rPr>
                <w:t>Preschool Guidelines</w:t>
              </w:r>
            </w:hyperlink>
            <w:r w:rsidR="006275C9" w:rsidRPr="00270A07">
              <w:rPr>
                <w:rFonts w:eastAsia="Arial" w:cstheme="minorHAnsi"/>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006275C9">
        <w:trPr>
          <w:trHeight w:val="120"/>
        </w:trPr>
        <w:tc>
          <w:tcPr>
            <w:tcW w:w="2269" w:type="dxa"/>
            <w:shd w:val="clear" w:color="auto" w:fill="FFFFFF"/>
          </w:tcPr>
          <w:p w14:paraId="5DCC4273" w14:textId="77777777" w:rsidR="002E159B" w:rsidRDefault="002E159B" w:rsidP="00242695">
            <w:pPr>
              <w:shd w:val="clear" w:color="auto" w:fill="FFFFFF"/>
              <w:spacing w:before="100" w:beforeAutospacing="1" w:after="100" w:afterAutospacing="1" w:line="240" w:lineRule="auto"/>
              <w:jc w:val="center"/>
              <w:rPr>
                <w:rFonts w:cstheme="minorHAnsi"/>
              </w:rPr>
            </w:pPr>
            <w:r>
              <w:rPr>
                <w:rFonts w:cstheme="minorHAnsi"/>
              </w:rPr>
              <w:t>100</w:t>
            </w:r>
          </w:p>
          <w:p w14:paraId="405A7FA3" w14:textId="77777777" w:rsidR="002E159B" w:rsidRDefault="002E159B" w:rsidP="00242695">
            <w:pPr>
              <w:shd w:val="clear" w:color="auto" w:fill="FFFFFF"/>
              <w:spacing w:before="100" w:beforeAutospacing="1" w:after="100" w:afterAutospacing="1" w:line="240" w:lineRule="auto"/>
              <w:jc w:val="center"/>
              <w:rPr>
                <w:rFonts w:cstheme="minorHAnsi"/>
              </w:rPr>
            </w:pPr>
            <w:r>
              <w:rPr>
                <w:rFonts w:cstheme="minorHAnsi"/>
              </w:rPr>
              <w:t>101</w:t>
            </w:r>
          </w:p>
          <w:p w14:paraId="090D5710" w14:textId="6452DB22" w:rsidR="002E159B" w:rsidRPr="00270A07" w:rsidRDefault="002E159B" w:rsidP="00242695">
            <w:pPr>
              <w:shd w:val="clear" w:color="auto" w:fill="FFFFFF"/>
              <w:spacing w:before="100" w:beforeAutospacing="1" w:after="100" w:afterAutospacing="1" w:line="240" w:lineRule="auto"/>
              <w:jc w:val="center"/>
              <w:rPr>
                <w:rFonts w:cstheme="minorHAnsi"/>
              </w:rPr>
            </w:pPr>
            <w:r>
              <w:rPr>
                <w:rFonts w:cstheme="minorHAnsi"/>
              </w:rPr>
              <w:t>102</w:t>
            </w:r>
          </w:p>
        </w:tc>
        <w:tc>
          <w:tcPr>
            <w:tcW w:w="4110" w:type="dxa"/>
            <w:shd w:val="clear" w:color="auto" w:fill="FFFFFF"/>
          </w:tcPr>
          <w:p w14:paraId="42C50B39" w14:textId="77777777" w:rsidR="006275C9" w:rsidRPr="00270A07"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270A07">
              <w:rPr>
                <w:rFonts w:eastAsia="Times New Roman" w:cstheme="minorHAnsi"/>
                <w:color w:val="000000"/>
                <w:spacing w:val="2"/>
                <w:lang w:eastAsia="en-AU"/>
              </w:rPr>
              <w:t xml:space="preserve">The following department policies and relevant documents can be accessed from the </w:t>
            </w:r>
            <w:r w:rsidRPr="00270A07">
              <w:rPr>
                <w:rFonts w:eastAsia="Times New Roman" w:cstheme="minorHAnsi"/>
                <w:color w:val="000000" w:themeColor="text1"/>
                <w:spacing w:val="2"/>
                <w:lang w:eastAsia="en-AU"/>
              </w:rPr>
              <w:t xml:space="preserve">preschool section of the department’s </w:t>
            </w:r>
            <w:hyperlink r:id="rId10" w:history="1">
              <w:r w:rsidRPr="00270A07">
                <w:rPr>
                  <w:rStyle w:val="Hyperlink"/>
                  <w:rFonts w:eastAsia="Times New Roman" w:cstheme="minorHAnsi"/>
                  <w:spacing w:val="2"/>
                  <w:lang w:eastAsia="en-AU"/>
                </w:rPr>
                <w:t>website</w:t>
              </w:r>
            </w:hyperlink>
            <w:r w:rsidRPr="00270A07">
              <w:rPr>
                <w:rFonts w:eastAsia="Times New Roman" w:cstheme="minorHAnsi"/>
                <w:color w:val="000000" w:themeColor="text1"/>
                <w:spacing w:val="2"/>
                <w:lang w:eastAsia="en-AU"/>
              </w:rPr>
              <w:t>;</w:t>
            </w:r>
          </w:p>
          <w:p w14:paraId="5E4B8860" w14:textId="7D274CB5" w:rsidR="00C2438E" w:rsidRDefault="002E159B"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Excursions Policy</w:t>
            </w:r>
          </w:p>
          <w:p w14:paraId="074E0AE4" w14:textId="77777777" w:rsidR="002E159B" w:rsidRDefault="002E159B"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Preschool – Obtaining Parent authorisation and consent.</w:t>
            </w:r>
          </w:p>
          <w:p w14:paraId="3E7918CC" w14:textId="0D4CC15F" w:rsidR="00743BB9" w:rsidRPr="00270A07" w:rsidRDefault="00743BB9"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Leading and Operating Department Preschool Guidelines</w:t>
            </w:r>
          </w:p>
        </w:tc>
        <w:tc>
          <w:tcPr>
            <w:tcW w:w="1418" w:type="dxa"/>
            <w:shd w:val="clear" w:color="auto" w:fill="FFFFFF"/>
          </w:tcPr>
          <w:p w14:paraId="46B92D8A" w14:textId="77777777" w:rsidR="006275C9" w:rsidRPr="00270A07" w:rsidRDefault="006275C9" w:rsidP="0002139B">
            <w:pPr>
              <w:rPr>
                <w:rFonts w:cstheme="minorHAnsi"/>
              </w:rPr>
            </w:pPr>
          </w:p>
          <w:p w14:paraId="4914E265" w14:textId="2F595F21" w:rsidR="006275C9" w:rsidRPr="00270A07" w:rsidRDefault="0088112B" w:rsidP="0088112B">
            <w:pPr>
              <w:jc w:val="center"/>
              <w:rPr>
                <w:rFonts w:cstheme="minorHAnsi"/>
              </w:rPr>
            </w:pPr>
            <w:r>
              <w:rPr>
                <w:rFonts w:cstheme="minorHAnsi"/>
              </w:rPr>
              <w:t>p. 46</w:t>
            </w:r>
          </w:p>
        </w:tc>
        <w:tc>
          <w:tcPr>
            <w:tcW w:w="1701" w:type="dxa"/>
            <w:shd w:val="clear" w:color="auto" w:fill="FFFFFF"/>
          </w:tcPr>
          <w:p w14:paraId="7D15BC38" w14:textId="77777777" w:rsidR="006275C9" w:rsidRDefault="006275C9" w:rsidP="006275C9">
            <w:pPr>
              <w:spacing w:line="240" w:lineRule="auto"/>
              <w:jc w:val="center"/>
              <w:rPr>
                <w:rFonts w:cstheme="minorHAnsi"/>
                <w:sz w:val="24"/>
                <w:szCs w:val="24"/>
              </w:rPr>
            </w:pPr>
          </w:p>
          <w:p w14:paraId="413E1FAC" w14:textId="09248124" w:rsidR="00C26E62" w:rsidRPr="00CC4555" w:rsidRDefault="002E159B" w:rsidP="006275C9">
            <w:pPr>
              <w:spacing w:line="240" w:lineRule="auto"/>
              <w:jc w:val="center"/>
              <w:rPr>
                <w:rFonts w:cstheme="minorHAnsi"/>
                <w:sz w:val="24"/>
                <w:szCs w:val="24"/>
              </w:rPr>
            </w:pPr>
            <w:r>
              <w:rPr>
                <w:rFonts w:cstheme="minorHAnsi"/>
                <w:sz w:val="24"/>
                <w:szCs w:val="24"/>
              </w:rPr>
              <w:t>2.2</w:t>
            </w:r>
          </w:p>
        </w:tc>
        <w:tc>
          <w:tcPr>
            <w:tcW w:w="1417" w:type="dxa"/>
            <w:shd w:val="clear" w:color="auto" w:fill="FFFFFF"/>
          </w:tcPr>
          <w:p w14:paraId="6452523A" w14:textId="77777777" w:rsidR="006275C9" w:rsidRDefault="006275C9" w:rsidP="00CC3307">
            <w:pPr>
              <w:spacing w:line="240" w:lineRule="auto"/>
              <w:rPr>
                <w:rFonts w:cstheme="minorHAnsi"/>
                <w:sz w:val="24"/>
                <w:szCs w:val="24"/>
              </w:rPr>
            </w:pPr>
          </w:p>
          <w:p w14:paraId="49E51967" w14:textId="49AF3E31" w:rsidR="00897029" w:rsidRPr="00CC4555" w:rsidRDefault="00897029" w:rsidP="00CC3307">
            <w:pPr>
              <w:spacing w:line="240" w:lineRule="auto"/>
              <w:rPr>
                <w:rFonts w:cstheme="minorHAnsi"/>
                <w:sz w:val="24"/>
                <w:szCs w:val="24"/>
              </w:rPr>
            </w:pPr>
            <w:r w:rsidRPr="00897029">
              <w:rPr>
                <w:rFonts w:cstheme="minorHAnsi"/>
              </w:rPr>
              <w:t>Excursions checklist</w:t>
            </w:r>
          </w:p>
        </w:tc>
      </w:tr>
      <w:tr w:rsidR="006275C9" w:rsidRPr="00387AEC" w14:paraId="5CBC0EE5" w14:textId="750C6F30" w:rsidTr="0002139B">
        <w:trPr>
          <w:trHeight w:val="120"/>
        </w:trPr>
        <w:tc>
          <w:tcPr>
            <w:tcW w:w="10915" w:type="dxa"/>
            <w:gridSpan w:val="5"/>
            <w:shd w:val="clear" w:color="auto" w:fill="FFFFFF"/>
          </w:tcPr>
          <w:p w14:paraId="1702346A" w14:textId="56E7254B" w:rsidR="00C2438E" w:rsidRDefault="00C2438E" w:rsidP="00C2438E"/>
          <w:p w14:paraId="77423CD1" w14:textId="77777777" w:rsidR="00BA321E" w:rsidRPr="00BA321E" w:rsidRDefault="005D6ADF" w:rsidP="00053A16">
            <w:pPr>
              <w:pStyle w:val="Body1"/>
              <w:numPr>
                <w:ilvl w:val="0"/>
                <w:numId w:val="23"/>
              </w:numPr>
              <w:rPr>
                <w:rFonts w:asciiTheme="minorHAnsi" w:hAnsiTheme="minorHAnsi" w:cstheme="minorHAnsi"/>
                <w:szCs w:val="24"/>
              </w:rPr>
            </w:pPr>
            <w:r w:rsidRPr="00053A16">
              <w:rPr>
                <w:rFonts w:asciiTheme="minorHAnsi" w:hAnsiTheme="minorHAnsi" w:cstheme="minorHAnsi"/>
              </w:rPr>
              <w:t xml:space="preserve">There </w:t>
            </w:r>
            <w:r w:rsidR="00053A16" w:rsidRPr="00053A16">
              <w:rPr>
                <w:rFonts w:asciiTheme="minorHAnsi" w:hAnsiTheme="minorHAnsi" w:cstheme="minorHAnsi"/>
              </w:rPr>
              <w:t>is</w:t>
            </w:r>
            <w:r w:rsidRPr="00053A16">
              <w:rPr>
                <w:rFonts w:asciiTheme="minorHAnsi" w:hAnsiTheme="minorHAnsi" w:cstheme="minorHAnsi"/>
              </w:rPr>
              <w:t xml:space="preserve"> no set educator to child ratio for excursion</w:t>
            </w:r>
            <w:r w:rsidR="00053A16" w:rsidRPr="00053A16">
              <w:rPr>
                <w:rFonts w:asciiTheme="minorHAnsi" w:hAnsiTheme="minorHAnsi" w:cstheme="minorHAnsi"/>
              </w:rPr>
              <w:t>s,</w:t>
            </w:r>
            <w:r w:rsidRPr="00053A16">
              <w:rPr>
                <w:rFonts w:asciiTheme="minorHAnsi" w:hAnsiTheme="minorHAnsi" w:cstheme="minorHAnsi"/>
              </w:rPr>
              <w:t xml:space="preserve"> </w:t>
            </w:r>
            <w:r w:rsidR="00876A65" w:rsidRPr="00053A16">
              <w:rPr>
                <w:rFonts w:asciiTheme="minorHAnsi" w:hAnsiTheme="minorHAnsi" w:cstheme="minorHAnsi"/>
              </w:rPr>
              <w:t>however</w:t>
            </w:r>
            <w:r w:rsidRPr="00053A16">
              <w:rPr>
                <w:rFonts w:asciiTheme="minorHAnsi" w:hAnsiTheme="minorHAnsi" w:cstheme="minorHAnsi"/>
              </w:rPr>
              <w:t xml:space="preserve"> this needs to be determined after the risk assessment has been completed and the hazards identified.</w:t>
            </w:r>
            <w:r w:rsidR="00053A16" w:rsidRPr="00053A16">
              <w:rPr>
                <w:rFonts w:asciiTheme="minorHAnsi" w:hAnsiTheme="minorHAnsi" w:cstheme="minorHAnsi"/>
              </w:rPr>
              <w:t xml:space="preserve"> </w:t>
            </w:r>
          </w:p>
          <w:p w14:paraId="5BD2A7AA" w14:textId="77777777" w:rsidR="00BA321E" w:rsidRPr="00BA321E" w:rsidRDefault="00BA321E" w:rsidP="00BA321E">
            <w:pPr>
              <w:pStyle w:val="Body1"/>
              <w:ind w:left="720"/>
              <w:rPr>
                <w:rFonts w:asciiTheme="minorHAnsi" w:hAnsiTheme="minorHAnsi" w:cstheme="minorHAnsi"/>
                <w:szCs w:val="24"/>
              </w:rPr>
            </w:pPr>
          </w:p>
          <w:p w14:paraId="5393A900" w14:textId="7A888328" w:rsidR="00A75C54" w:rsidRPr="00BA321E" w:rsidRDefault="00603AE1" w:rsidP="00BA321E">
            <w:pPr>
              <w:pStyle w:val="Body1"/>
              <w:numPr>
                <w:ilvl w:val="0"/>
                <w:numId w:val="23"/>
              </w:numPr>
              <w:rPr>
                <w:rFonts w:asciiTheme="minorHAnsi" w:hAnsiTheme="minorHAnsi" w:cstheme="minorHAnsi"/>
                <w:szCs w:val="24"/>
              </w:rPr>
            </w:pPr>
            <w:r w:rsidRPr="00053A16">
              <w:rPr>
                <w:rFonts w:asciiTheme="minorHAnsi" w:hAnsiTheme="minorHAnsi" w:cstheme="minorHAnsi"/>
              </w:rPr>
              <w:t>At WPS, t</w:t>
            </w:r>
            <w:r w:rsidR="0088112B" w:rsidRPr="00053A16">
              <w:rPr>
                <w:rFonts w:asciiTheme="minorHAnsi" w:hAnsiTheme="minorHAnsi" w:cstheme="minorHAnsi"/>
              </w:rPr>
              <w:t>he minimum ratio for preschool children is 1 adult to 5 children</w:t>
            </w:r>
            <w:r w:rsidRPr="00053A16">
              <w:rPr>
                <w:rFonts w:asciiTheme="minorHAnsi" w:hAnsiTheme="minorHAnsi" w:cstheme="minorHAnsi"/>
              </w:rPr>
              <w:t xml:space="preserve"> for any excursion</w:t>
            </w:r>
            <w:r w:rsidR="0088112B" w:rsidRPr="00053A16">
              <w:rPr>
                <w:rFonts w:asciiTheme="minorHAnsi" w:hAnsiTheme="minorHAnsi" w:cstheme="minorHAnsi"/>
              </w:rPr>
              <w:t>.</w:t>
            </w:r>
            <w:r w:rsidR="00053A16" w:rsidRPr="00053A16">
              <w:rPr>
                <w:rFonts w:asciiTheme="minorHAnsi" w:hAnsiTheme="minorHAnsi" w:cstheme="minorHAnsi"/>
              </w:rPr>
              <w:t xml:space="preserve"> </w:t>
            </w:r>
            <w:r w:rsidR="0088112B" w:rsidRPr="00053A16">
              <w:rPr>
                <w:rFonts w:asciiTheme="minorHAnsi" w:hAnsiTheme="minorHAnsi" w:cstheme="minorHAnsi"/>
              </w:rPr>
              <w:t>If the excursion involves crossing a major road the ratio is minimum ratio is 1 adult to 4 children</w:t>
            </w:r>
            <w:r w:rsidR="00053A16" w:rsidRPr="00053A16">
              <w:rPr>
                <w:rFonts w:asciiTheme="minorHAnsi" w:hAnsiTheme="minorHAnsi" w:cstheme="minorHAnsi"/>
              </w:rPr>
              <w:t xml:space="preserve">. </w:t>
            </w:r>
            <w:proofErr w:type="spellStart"/>
            <w:r w:rsidR="0088112B" w:rsidRPr="00053A16">
              <w:rPr>
                <w:rFonts w:asciiTheme="minorHAnsi" w:hAnsiTheme="minorHAnsi" w:cstheme="minorHAnsi"/>
              </w:rPr>
              <w:t>If</w:t>
            </w:r>
            <w:proofErr w:type="spellEnd"/>
            <w:r w:rsidR="0088112B" w:rsidRPr="00053A16">
              <w:rPr>
                <w:rFonts w:asciiTheme="minorHAnsi" w:hAnsiTheme="minorHAnsi" w:cstheme="minorHAnsi"/>
              </w:rPr>
              <w:t xml:space="preserve"> the excursion is to a beach, river, pool, lake or other place where there is a significant water hazard then a 1 child to 1 adult ratio must be applied, </w:t>
            </w:r>
            <w:r w:rsidR="0088112B" w:rsidRPr="00A75C54">
              <w:rPr>
                <w:rFonts w:asciiTheme="minorHAnsi" w:hAnsiTheme="minorHAnsi" w:cstheme="minorHAnsi"/>
                <w:szCs w:val="24"/>
              </w:rPr>
              <w:t>including if the purpose of the excursion is to teach swimming or water safety.</w:t>
            </w:r>
            <w:r w:rsidR="00BA321E">
              <w:rPr>
                <w:rFonts w:asciiTheme="minorHAnsi" w:hAnsiTheme="minorHAnsi" w:cstheme="minorHAnsi"/>
                <w:szCs w:val="24"/>
              </w:rPr>
              <w:t xml:space="preserve"> </w:t>
            </w:r>
            <w:r w:rsidR="00A75C54" w:rsidRPr="00BA321E">
              <w:rPr>
                <w:rFonts w:asciiTheme="minorHAnsi" w:hAnsiTheme="minorHAnsi" w:cstheme="minorHAnsi"/>
                <w:szCs w:val="24"/>
              </w:rPr>
              <w:t xml:space="preserve">Additional adults beyond the 1 to 10 </w:t>
            </w:r>
            <w:r w:rsidR="004E344D" w:rsidRPr="00BA321E">
              <w:rPr>
                <w:rFonts w:asciiTheme="minorHAnsi" w:hAnsiTheme="minorHAnsi" w:cstheme="minorHAnsi"/>
                <w:szCs w:val="24"/>
              </w:rPr>
              <w:t>ratios</w:t>
            </w:r>
            <w:r w:rsidR="00A75C54" w:rsidRPr="00BA321E">
              <w:rPr>
                <w:rFonts w:asciiTheme="minorHAnsi" w:hAnsiTheme="minorHAnsi" w:cstheme="minorHAnsi"/>
                <w:szCs w:val="24"/>
              </w:rPr>
              <w:t xml:space="preserve">, </w:t>
            </w:r>
            <w:proofErr w:type="gramStart"/>
            <w:r w:rsidR="00A75C54" w:rsidRPr="00BA321E">
              <w:rPr>
                <w:rFonts w:asciiTheme="minorHAnsi" w:hAnsiTheme="minorHAnsi" w:cstheme="minorHAnsi"/>
                <w:szCs w:val="24"/>
              </w:rPr>
              <w:t>don’t</w:t>
            </w:r>
            <w:proofErr w:type="gramEnd"/>
            <w:r w:rsidR="00A75C54" w:rsidRPr="00BA321E">
              <w:rPr>
                <w:rFonts w:asciiTheme="minorHAnsi" w:hAnsiTheme="minorHAnsi" w:cstheme="minorHAnsi"/>
                <w:szCs w:val="24"/>
              </w:rPr>
              <w:t xml:space="preserve"> need to hold an approved qualification</w:t>
            </w:r>
          </w:p>
          <w:p w14:paraId="66521D5C" w14:textId="77777777" w:rsidR="0088112B" w:rsidRPr="008D32FE" w:rsidRDefault="0088112B" w:rsidP="0088112B">
            <w:pPr>
              <w:pStyle w:val="Body1"/>
              <w:ind w:left="1440"/>
              <w:rPr>
                <w:rFonts w:ascii="Calibri" w:hAnsi="Calibri" w:cs="Calibri"/>
              </w:rPr>
            </w:pPr>
          </w:p>
          <w:p w14:paraId="773D4E0D" w14:textId="77777777" w:rsidR="0088112B" w:rsidRDefault="0088112B" w:rsidP="0088112B">
            <w:pPr>
              <w:pStyle w:val="Body1"/>
              <w:numPr>
                <w:ilvl w:val="0"/>
                <w:numId w:val="23"/>
              </w:numPr>
              <w:rPr>
                <w:rFonts w:ascii="Calibri" w:hAnsi="Calibri" w:cs="Calibri"/>
              </w:rPr>
            </w:pPr>
            <w:r>
              <w:rPr>
                <w:rFonts w:ascii="Calibri" w:hAnsi="Calibri" w:cs="Calibri"/>
              </w:rPr>
              <w:t>Parental permission is required for preschool children for each excursion (as with all DoE school children). If the outing is a regular occurrence, one permission note and risk assessment is sufficient in a 12-month period, unless there is a change of details.</w:t>
            </w:r>
          </w:p>
          <w:p w14:paraId="05E83DB1" w14:textId="77777777" w:rsidR="0088112B" w:rsidRDefault="0088112B" w:rsidP="0088112B">
            <w:pPr>
              <w:pStyle w:val="Body1"/>
              <w:ind w:left="720"/>
              <w:rPr>
                <w:rFonts w:ascii="Calibri" w:hAnsi="Calibri" w:cs="Calibri"/>
              </w:rPr>
            </w:pPr>
          </w:p>
          <w:p w14:paraId="3993513E" w14:textId="77777777" w:rsidR="0088112B" w:rsidRDefault="0088112B" w:rsidP="0088112B">
            <w:pPr>
              <w:pStyle w:val="Body1"/>
              <w:numPr>
                <w:ilvl w:val="0"/>
                <w:numId w:val="23"/>
              </w:numPr>
              <w:rPr>
                <w:rFonts w:ascii="Calibri" w:hAnsi="Calibri" w:cs="Calibri"/>
              </w:rPr>
            </w:pPr>
            <w:r>
              <w:rPr>
                <w:rFonts w:ascii="Calibri" w:hAnsi="Calibri" w:cs="Calibri"/>
              </w:rPr>
              <w:t xml:space="preserve">When preparing information about an excursion for parents, the names of educators and total number of adults accompanying the children must be recorded. </w:t>
            </w:r>
          </w:p>
          <w:p w14:paraId="63A09C3A" w14:textId="77777777" w:rsidR="0088112B" w:rsidRPr="003E09E9" w:rsidRDefault="0088112B" w:rsidP="0088112B">
            <w:pPr>
              <w:pStyle w:val="Body1"/>
              <w:rPr>
                <w:rFonts w:ascii="Calibri" w:hAnsi="Calibri" w:cs="Calibri"/>
              </w:rPr>
            </w:pPr>
          </w:p>
          <w:p w14:paraId="23963BB5" w14:textId="531127E7" w:rsidR="0088112B" w:rsidRDefault="0088112B" w:rsidP="0088112B">
            <w:pPr>
              <w:pStyle w:val="Body1"/>
              <w:numPr>
                <w:ilvl w:val="0"/>
                <w:numId w:val="23"/>
              </w:numPr>
              <w:rPr>
                <w:rFonts w:ascii="Calibri" w:hAnsi="Calibri" w:cs="Calibri"/>
              </w:rPr>
            </w:pPr>
            <w:r>
              <w:rPr>
                <w:rFonts w:ascii="Calibri" w:hAnsi="Calibri" w:cs="Calibri"/>
              </w:rPr>
              <w:t>All volunteers must complete a DoE Working with Children Check (WWCC) form</w:t>
            </w:r>
            <w:r w:rsidR="00135EB4">
              <w:rPr>
                <w:rFonts w:ascii="Calibri" w:hAnsi="Calibri" w:cs="Calibri"/>
              </w:rPr>
              <w:t xml:space="preserve"> </w:t>
            </w:r>
            <w:r>
              <w:rPr>
                <w:rFonts w:ascii="Calibri" w:hAnsi="Calibri" w:cs="Calibri"/>
              </w:rPr>
              <w:t>and/or provide their current approved Working with Children Check number</w:t>
            </w:r>
            <w:r w:rsidR="00135EB4">
              <w:rPr>
                <w:rFonts w:ascii="Calibri" w:hAnsi="Calibri" w:cs="Calibri"/>
              </w:rPr>
              <w:t xml:space="preserve"> prior to </w:t>
            </w:r>
            <w:r w:rsidR="00EF4F99">
              <w:rPr>
                <w:rFonts w:ascii="Calibri" w:hAnsi="Calibri" w:cs="Calibri"/>
              </w:rPr>
              <w:t xml:space="preserve">being permitted to attend </w:t>
            </w:r>
            <w:r w:rsidR="00135EB4">
              <w:rPr>
                <w:rFonts w:ascii="Calibri" w:hAnsi="Calibri" w:cs="Calibri"/>
              </w:rPr>
              <w:t>the excursion.</w:t>
            </w:r>
          </w:p>
          <w:p w14:paraId="557D520A" w14:textId="77777777" w:rsidR="0088112B" w:rsidRDefault="0088112B" w:rsidP="0088112B">
            <w:pPr>
              <w:pStyle w:val="Body1"/>
              <w:ind w:left="720"/>
              <w:rPr>
                <w:rFonts w:ascii="Calibri" w:hAnsi="Calibri" w:cs="Calibri"/>
              </w:rPr>
            </w:pPr>
          </w:p>
          <w:p w14:paraId="43C127D1" w14:textId="3F83B2FD" w:rsidR="0088112B" w:rsidRDefault="0088112B" w:rsidP="0088112B">
            <w:pPr>
              <w:pStyle w:val="Body1"/>
              <w:numPr>
                <w:ilvl w:val="0"/>
                <w:numId w:val="23"/>
              </w:numPr>
              <w:rPr>
                <w:rFonts w:ascii="Calibri" w:hAnsi="Calibri" w:cs="Calibri"/>
              </w:rPr>
            </w:pPr>
            <w:r w:rsidRPr="008D32FE">
              <w:rPr>
                <w:rFonts w:ascii="Calibri" w:hAnsi="Calibri" w:cs="Calibri"/>
              </w:rPr>
              <w:t>Fi</w:t>
            </w:r>
            <w:r w:rsidR="005D6ADF">
              <w:rPr>
                <w:rFonts w:ascii="Calibri" w:hAnsi="Calibri" w:cs="Calibri"/>
              </w:rPr>
              <w:t>r</w:t>
            </w:r>
            <w:r w:rsidRPr="008D32FE">
              <w:rPr>
                <w:rFonts w:ascii="Calibri" w:hAnsi="Calibri" w:cs="Calibri"/>
              </w:rPr>
              <w:t>st Aid equipment</w:t>
            </w:r>
            <w:r>
              <w:rPr>
                <w:rFonts w:ascii="Calibri" w:hAnsi="Calibri" w:cs="Calibri"/>
              </w:rPr>
              <w:t xml:space="preserve"> (band aids, tissues, gloves, etc.), including EpiPen’s and asthma medication and action plans</w:t>
            </w:r>
            <w:r w:rsidRPr="008D32FE">
              <w:rPr>
                <w:rFonts w:ascii="Calibri" w:hAnsi="Calibri" w:cs="Calibri"/>
              </w:rPr>
              <w:t xml:space="preserve"> must be taken on preschool excursions and staff must </w:t>
            </w:r>
            <w:r>
              <w:rPr>
                <w:rFonts w:ascii="Calibri" w:hAnsi="Calibri" w:cs="Calibri"/>
              </w:rPr>
              <w:t xml:space="preserve">have current </w:t>
            </w:r>
            <w:r w:rsidRPr="008D32FE">
              <w:rPr>
                <w:rFonts w:ascii="Calibri" w:hAnsi="Calibri" w:cs="Calibri"/>
              </w:rPr>
              <w:t>train</w:t>
            </w:r>
            <w:r>
              <w:rPr>
                <w:rFonts w:ascii="Calibri" w:hAnsi="Calibri" w:cs="Calibri"/>
              </w:rPr>
              <w:t>ing</w:t>
            </w:r>
            <w:r w:rsidRPr="008D32FE">
              <w:rPr>
                <w:rFonts w:ascii="Calibri" w:hAnsi="Calibri" w:cs="Calibri"/>
              </w:rPr>
              <w:t xml:space="preserve"> in Emergency Care and </w:t>
            </w:r>
            <w:r>
              <w:rPr>
                <w:rFonts w:ascii="Calibri" w:hAnsi="Calibri" w:cs="Calibri"/>
              </w:rPr>
              <w:t>CPR</w:t>
            </w:r>
            <w:r w:rsidRPr="008D32FE">
              <w:rPr>
                <w:rFonts w:ascii="Calibri" w:hAnsi="Calibri" w:cs="Calibri"/>
              </w:rPr>
              <w:t xml:space="preserve"> procedures.</w:t>
            </w:r>
          </w:p>
          <w:p w14:paraId="64216320" w14:textId="77777777" w:rsidR="0088112B" w:rsidRPr="008D32FE" w:rsidRDefault="0088112B" w:rsidP="0088112B">
            <w:pPr>
              <w:pStyle w:val="Body1"/>
              <w:ind w:left="720"/>
              <w:rPr>
                <w:rFonts w:ascii="Calibri" w:hAnsi="Calibri" w:cs="Calibri"/>
              </w:rPr>
            </w:pPr>
          </w:p>
          <w:p w14:paraId="6FE4B989" w14:textId="21274AD1" w:rsidR="0088112B" w:rsidRDefault="0088112B" w:rsidP="0088112B">
            <w:pPr>
              <w:pStyle w:val="Body1"/>
              <w:numPr>
                <w:ilvl w:val="0"/>
                <w:numId w:val="23"/>
              </w:numPr>
              <w:rPr>
                <w:rFonts w:ascii="Calibri" w:hAnsi="Calibri" w:cs="Calibri"/>
              </w:rPr>
            </w:pPr>
            <w:r w:rsidRPr="00E82830">
              <w:rPr>
                <w:rFonts w:ascii="Calibri" w:hAnsi="Calibri" w:cs="Calibri"/>
              </w:rPr>
              <w:t>Transport arrangements for excursions must be planned and managed to ensure the safety of children that will include child restraints (vehicles under 9 seats)</w:t>
            </w:r>
            <w:r w:rsidR="00811425">
              <w:rPr>
                <w:rFonts w:ascii="Calibri" w:hAnsi="Calibri" w:cs="Calibri"/>
              </w:rPr>
              <w:t>.</w:t>
            </w:r>
            <w:r w:rsidR="00D550AC">
              <w:rPr>
                <w:rFonts w:ascii="Calibri" w:hAnsi="Calibri" w:cs="Calibri"/>
              </w:rPr>
              <w:t xml:space="preserve"> </w:t>
            </w:r>
          </w:p>
          <w:p w14:paraId="34AEA0BA" w14:textId="77777777" w:rsidR="0088112B" w:rsidRPr="005D6ADF" w:rsidRDefault="0088112B" w:rsidP="0088112B">
            <w:pPr>
              <w:pStyle w:val="Body1"/>
              <w:ind w:left="720"/>
              <w:rPr>
                <w:rFonts w:ascii="Calibri" w:hAnsi="Calibri" w:cs="Calibri"/>
                <w:szCs w:val="24"/>
              </w:rPr>
            </w:pPr>
          </w:p>
          <w:p w14:paraId="27002831" w14:textId="77777777" w:rsidR="008948B4" w:rsidRDefault="0088112B" w:rsidP="0088112B">
            <w:pPr>
              <w:pStyle w:val="Body1"/>
              <w:numPr>
                <w:ilvl w:val="0"/>
                <w:numId w:val="23"/>
              </w:numPr>
              <w:rPr>
                <w:rFonts w:ascii="Calibri" w:hAnsi="Calibri" w:cs="Calibri"/>
                <w:szCs w:val="24"/>
              </w:rPr>
            </w:pPr>
            <w:r w:rsidRPr="005D6ADF">
              <w:rPr>
                <w:rFonts w:ascii="Calibri" w:hAnsi="Calibri" w:cs="Calibri"/>
                <w:szCs w:val="24"/>
              </w:rPr>
              <w:t>The educator in charge of organising the excursion must complete a Risk Assessment prior to the excursion and have this checked by the School Principal (Nominated Supervisor, Educational Leader and Responsible Person).</w:t>
            </w:r>
          </w:p>
          <w:p w14:paraId="4C12B24C" w14:textId="77777777" w:rsidR="008948B4" w:rsidRDefault="008948B4" w:rsidP="008948B4">
            <w:pPr>
              <w:pStyle w:val="ListParagraph"/>
              <w:rPr>
                <w:sz w:val="20"/>
              </w:rPr>
            </w:pPr>
          </w:p>
          <w:p w14:paraId="61FDD95A" w14:textId="0E5E943F" w:rsidR="008948B4" w:rsidRPr="008948B4" w:rsidRDefault="008948B4" w:rsidP="0088112B">
            <w:pPr>
              <w:pStyle w:val="Body1"/>
              <w:numPr>
                <w:ilvl w:val="0"/>
                <w:numId w:val="23"/>
              </w:numPr>
              <w:rPr>
                <w:rFonts w:asciiTheme="minorHAnsi" w:hAnsiTheme="minorHAnsi" w:cstheme="minorHAnsi"/>
                <w:szCs w:val="24"/>
              </w:rPr>
            </w:pPr>
            <w:r w:rsidRPr="008948B4">
              <w:rPr>
                <w:rFonts w:asciiTheme="minorHAnsi" w:hAnsiTheme="minorHAnsi" w:cstheme="minorHAnsi"/>
                <w:szCs w:val="24"/>
              </w:rPr>
              <w:t xml:space="preserve">At least one attending staff member must hold the ACECQA approved anaphylaxis, asthma and first aid qualifications. Additionally, the </w:t>
            </w:r>
            <w:r>
              <w:rPr>
                <w:rFonts w:asciiTheme="minorHAnsi" w:hAnsiTheme="minorHAnsi" w:cstheme="minorHAnsi"/>
                <w:szCs w:val="24"/>
              </w:rPr>
              <w:t>D</w:t>
            </w:r>
            <w:r w:rsidRPr="008948B4">
              <w:rPr>
                <w:rFonts w:asciiTheme="minorHAnsi" w:hAnsiTheme="minorHAnsi" w:cstheme="minorHAnsi"/>
                <w:szCs w:val="24"/>
              </w:rPr>
              <w:t>epartment</w:t>
            </w:r>
            <w:r>
              <w:rPr>
                <w:rFonts w:asciiTheme="minorHAnsi" w:hAnsiTheme="minorHAnsi" w:cstheme="minorHAnsi"/>
                <w:szCs w:val="24"/>
              </w:rPr>
              <w:t xml:space="preserve"> of Education</w:t>
            </w:r>
            <w:r w:rsidRPr="008948B4">
              <w:rPr>
                <w:rFonts w:asciiTheme="minorHAnsi" w:hAnsiTheme="minorHAnsi" w:cstheme="minorHAnsi"/>
                <w:szCs w:val="24"/>
              </w:rPr>
              <w:t xml:space="preserve"> requires all attending staff </w:t>
            </w:r>
            <w:r w:rsidR="0002139B">
              <w:rPr>
                <w:rFonts w:asciiTheme="minorHAnsi" w:hAnsiTheme="minorHAnsi" w:cstheme="minorHAnsi"/>
                <w:szCs w:val="24"/>
              </w:rPr>
              <w:t xml:space="preserve">to </w:t>
            </w:r>
            <w:r w:rsidRPr="008948B4">
              <w:rPr>
                <w:rFonts w:asciiTheme="minorHAnsi" w:hAnsiTheme="minorHAnsi" w:cstheme="minorHAnsi"/>
                <w:szCs w:val="24"/>
              </w:rPr>
              <w:t>have completed the current mandatory anaphylaxis training (</w:t>
            </w:r>
            <w:r w:rsidRPr="008948B4">
              <w:rPr>
                <w:rFonts w:asciiTheme="minorHAnsi" w:hAnsiTheme="minorHAnsi" w:cstheme="minorHAnsi"/>
                <w:i/>
                <w:iCs/>
                <w:szCs w:val="24"/>
              </w:rPr>
              <w:t>pg</w:t>
            </w:r>
            <w:r w:rsidR="0002139B">
              <w:rPr>
                <w:rFonts w:asciiTheme="minorHAnsi" w:hAnsiTheme="minorHAnsi" w:cstheme="minorHAnsi"/>
                <w:i/>
                <w:iCs/>
                <w:szCs w:val="24"/>
              </w:rPr>
              <w:t>.</w:t>
            </w:r>
            <w:r w:rsidRPr="008948B4">
              <w:rPr>
                <w:rFonts w:asciiTheme="minorHAnsi" w:hAnsiTheme="minorHAnsi" w:cstheme="minorHAnsi"/>
                <w:i/>
                <w:iCs/>
                <w:szCs w:val="24"/>
              </w:rPr>
              <w:t xml:space="preserve"> 46 </w:t>
            </w:r>
            <w:r w:rsidRPr="008948B4">
              <w:rPr>
                <w:rFonts w:asciiTheme="minorHAnsi" w:eastAsia="Times New Roman" w:hAnsiTheme="minorHAnsi" w:cstheme="minorHAnsi"/>
                <w:i/>
                <w:iCs/>
                <w:szCs w:val="24"/>
                <w:lang w:val="en"/>
              </w:rPr>
              <w:t>Leading and Operating Department Preschool Guidelines</w:t>
            </w:r>
            <w:r w:rsidRPr="008948B4">
              <w:rPr>
                <w:rFonts w:asciiTheme="minorHAnsi" w:eastAsia="Times New Roman" w:hAnsiTheme="minorHAnsi" w:cstheme="minorHAnsi"/>
                <w:szCs w:val="24"/>
                <w:lang w:val="en"/>
              </w:rPr>
              <w:t>)</w:t>
            </w:r>
            <w:r>
              <w:rPr>
                <w:rFonts w:asciiTheme="minorHAnsi" w:eastAsia="Times New Roman" w:hAnsiTheme="minorHAnsi" w:cstheme="minorHAnsi"/>
                <w:szCs w:val="24"/>
                <w:lang w:val="en"/>
              </w:rPr>
              <w:t>.</w:t>
            </w:r>
          </w:p>
          <w:p w14:paraId="29A59057" w14:textId="2CD61A94" w:rsidR="0088112B" w:rsidRPr="008948B4" w:rsidRDefault="0088112B" w:rsidP="008948B4">
            <w:pPr>
              <w:pStyle w:val="Body1"/>
              <w:rPr>
                <w:rFonts w:ascii="Calibri" w:hAnsi="Calibri" w:cs="Calibri"/>
                <w:szCs w:val="24"/>
              </w:rPr>
            </w:pPr>
          </w:p>
          <w:p w14:paraId="4F9F2BCD" w14:textId="77777777" w:rsidR="0088112B" w:rsidRPr="005D6ADF" w:rsidRDefault="0088112B" w:rsidP="0088112B">
            <w:pPr>
              <w:pStyle w:val="Body1"/>
              <w:numPr>
                <w:ilvl w:val="0"/>
                <w:numId w:val="23"/>
              </w:numPr>
              <w:rPr>
                <w:rFonts w:ascii="Calibri" w:hAnsi="Calibri" w:cs="Calibri"/>
                <w:szCs w:val="24"/>
              </w:rPr>
            </w:pPr>
            <w:r w:rsidRPr="005D6ADF">
              <w:rPr>
                <w:rFonts w:ascii="Calibri" w:hAnsi="Calibri" w:cs="Calibri"/>
                <w:szCs w:val="24"/>
              </w:rPr>
              <w:t xml:space="preserve">A school-developed ‘Event/Excursion Checklist’ must also be completed and provided to the Nominated Supervisor, to ensure that all processes are being followed.  </w:t>
            </w:r>
          </w:p>
          <w:p w14:paraId="28603B47" w14:textId="77777777" w:rsidR="0088112B" w:rsidRPr="005D6ADF" w:rsidRDefault="0088112B" w:rsidP="0088112B">
            <w:pPr>
              <w:pStyle w:val="Body1"/>
              <w:rPr>
                <w:rFonts w:ascii="Calibri" w:hAnsi="Calibri" w:cs="Calibri"/>
                <w:szCs w:val="24"/>
              </w:rPr>
            </w:pPr>
          </w:p>
          <w:p w14:paraId="62D9627A" w14:textId="3B20EF5C" w:rsidR="004E344D" w:rsidRPr="004E344D" w:rsidRDefault="0088112B" w:rsidP="004E344D">
            <w:pPr>
              <w:numPr>
                <w:ilvl w:val="0"/>
                <w:numId w:val="23"/>
              </w:numPr>
              <w:spacing w:after="200" w:line="276" w:lineRule="auto"/>
              <w:rPr>
                <w:rFonts w:cs="Calibri"/>
                <w:sz w:val="24"/>
                <w:szCs w:val="24"/>
              </w:rPr>
            </w:pPr>
            <w:r w:rsidRPr="005D6ADF">
              <w:rPr>
                <w:rFonts w:cs="Calibri"/>
                <w:sz w:val="24"/>
                <w:szCs w:val="24"/>
              </w:rPr>
              <w:t xml:space="preserve">Whilst the </w:t>
            </w:r>
            <w:r w:rsidR="00743BB9" w:rsidRPr="005D6ADF">
              <w:rPr>
                <w:rFonts w:eastAsia="Times New Roman" w:cstheme="minorHAnsi"/>
                <w:i/>
                <w:iCs/>
                <w:sz w:val="24"/>
                <w:szCs w:val="24"/>
                <w:lang w:val="en" w:eastAsia="en-AU"/>
              </w:rPr>
              <w:t>Leading and Operating Department Preschool Guidelines</w:t>
            </w:r>
            <w:r w:rsidRPr="005D6ADF">
              <w:rPr>
                <w:rFonts w:cs="Calibri"/>
                <w:sz w:val="24"/>
                <w:szCs w:val="24"/>
              </w:rPr>
              <w:t xml:space="preserve"> states, "It should be noted that visits to the school are not regarded as excursions unless the school is on a separate site and the children need to cross a major road to access the school”, families must sign a permission form which outlines the types of activities that preschool children will be involved in when participating in a visit to the main school. </w:t>
            </w:r>
          </w:p>
          <w:p w14:paraId="51B9E029" w14:textId="4B5AAEAF" w:rsidR="004E344D" w:rsidRPr="005D6ADF" w:rsidRDefault="004E344D" w:rsidP="0088112B">
            <w:pPr>
              <w:numPr>
                <w:ilvl w:val="0"/>
                <w:numId w:val="23"/>
              </w:numPr>
              <w:spacing w:after="200" w:line="276" w:lineRule="auto"/>
              <w:rPr>
                <w:rFonts w:cs="Calibri"/>
                <w:sz w:val="24"/>
                <w:szCs w:val="24"/>
              </w:rPr>
            </w:pPr>
            <w:r>
              <w:rPr>
                <w:rFonts w:cs="Calibri"/>
                <w:sz w:val="24"/>
                <w:szCs w:val="24"/>
              </w:rPr>
              <w:t xml:space="preserve">A risk assessment for regular outings, such as visiting the school, should be completed every 12 </w:t>
            </w:r>
            <w:proofErr w:type="gramStart"/>
            <w:r>
              <w:rPr>
                <w:rFonts w:cs="Calibri"/>
                <w:sz w:val="24"/>
                <w:szCs w:val="24"/>
              </w:rPr>
              <w:t>months</w:t>
            </w:r>
            <w:proofErr w:type="gramEnd"/>
            <w:r>
              <w:rPr>
                <w:rFonts w:cs="Calibri"/>
                <w:sz w:val="24"/>
                <w:szCs w:val="24"/>
              </w:rPr>
              <w:t xml:space="preserve"> and reviewed within this period if needed.</w:t>
            </w:r>
          </w:p>
          <w:p w14:paraId="33085825" w14:textId="77777777" w:rsidR="0088112B" w:rsidRPr="005C486E" w:rsidRDefault="0088112B" w:rsidP="0088112B">
            <w:pPr>
              <w:numPr>
                <w:ilvl w:val="0"/>
                <w:numId w:val="23"/>
              </w:numPr>
              <w:spacing w:after="200" w:line="276" w:lineRule="auto"/>
              <w:rPr>
                <w:rFonts w:cs="Calibri"/>
                <w:sz w:val="24"/>
                <w:szCs w:val="24"/>
              </w:rPr>
            </w:pPr>
            <w:r w:rsidRPr="005D6ADF">
              <w:rPr>
                <w:rFonts w:cs="Calibri"/>
                <w:sz w:val="24"/>
                <w:szCs w:val="24"/>
              </w:rPr>
              <w:t>For incursions, or visitors to the service, please refer to the ‘Volunteers</w:t>
            </w:r>
            <w:r>
              <w:rPr>
                <w:rFonts w:cs="Calibri"/>
                <w:sz w:val="24"/>
                <w:szCs w:val="24"/>
              </w:rPr>
              <w:t>, Visitors and Students Procedure’.</w:t>
            </w:r>
          </w:p>
          <w:p w14:paraId="622A5D21" w14:textId="77777777" w:rsidR="0088112B" w:rsidRDefault="0088112B" w:rsidP="0088112B">
            <w:pPr>
              <w:pStyle w:val="Body1"/>
              <w:numPr>
                <w:ilvl w:val="0"/>
                <w:numId w:val="23"/>
              </w:numPr>
              <w:rPr>
                <w:rFonts w:ascii="Calibri" w:hAnsi="Calibri" w:cs="Calibri"/>
              </w:rPr>
            </w:pPr>
            <w:r>
              <w:rPr>
                <w:rFonts w:ascii="Calibri" w:hAnsi="Calibri" w:cs="Calibri"/>
              </w:rPr>
              <w:t xml:space="preserve">In the occurrence of a major evacuation, in which the whole school site is to be evacuated, the preschool children will be required to leave the site with the remainder of the school. Emergency services are aware of the location of students from WPS during an offsite evacuation. </w:t>
            </w:r>
          </w:p>
          <w:p w14:paraId="79127E6B" w14:textId="29B32693" w:rsidR="00C26E62" w:rsidRPr="00C26E62" w:rsidRDefault="00C26E62" w:rsidP="00C26E62">
            <w:pPr>
              <w:spacing w:before="240" w:after="200" w:line="276" w:lineRule="auto"/>
              <w:contextualSpacing/>
              <w:rPr>
                <w:rFonts w:cs="Arial"/>
              </w:rPr>
            </w:pP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665C1"/>
    <w:multiLevelType w:val="hybridMultilevel"/>
    <w:tmpl w:val="19BA7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672BB"/>
    <w:multiLevelType w:val="hybridMultilevel"/>
    <w:tmpl w:val="835C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CB1099"/>
    <w:multiLevelType w:val="hybridMultilevel"/>
    <w:tmpl w:val="C0868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6A29FD"/>
    <w:multiLevelType w:val="hybridMultilevel"/>
    <w:tmpl w:val="2F6C8E8C"/>
    <w:lvl w:ilvl="0" w:tplc="205822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20B5341"/>
    <w:multiLevelType w:val="hybridMultilevel"/>
    <w:tmpl w:val="5432613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936E88"/>
    <w:multiLevelType w:val="hybridMultilevel"/>
    <w:tmpl w:val="282ED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17"/>
  </w:num>
  <w:num w:numId="5">
    <w:abstractNumId w:val="13"/>
  </w:num>
  <w:num w:numId="6">
    <w:abstractNumId w:val="20"/>
  </w:num>
  <w:num w:numId="7">
    <w:abstractNumId w:val="6"/>
  </w:num>
  <w:num w:numId="8">
    <w:abstractNumId w:val="1"/>
  </w:num>
  <w:num w:numId="9">
    <w:abstractNumId w:val="16"/>
  </w:num>
  <w:num w:numId="10">
    <w:abstractNumId w:val="10"/>
  </w:num>
  <w:num w:numId="11">
    <w:abstractNumId w:val="3"/>
  </w:num>
  <w:num w:numId="12">
    <w:abstractNumId w:val="2"/>
  </w:num>
  <w:num w:numId="13">
    <w:abstractNumId w:val="19"/>
  </w:num>
  <w:num w:numId="14">
    <w:abstractNumId w:val="15"/>
  </w:num>
  <w:num w:numId="15">
    <w:abstractNumId w:val="7"/>
  </w:num>
  <w:num w:numId="16">
    <w:abstractNumId w:val="18"/>
  </w:num>
  <w:num w:numId="17">
    <w:abstractNumId w:val="22"/>
  </w:num>
  <w:num w:numId="18">
    <w:abstractNumId w:val="23"/>
  </w:num>
  <w:num w:numId="19">
    <w:abstractNumId w:val="11"/>
  </w:num>
  <w:num w:numId="20">
    <w:abstractNumId w:val="21"/>
  </w:num>
  <w:num w:numId="21">
    <w:abstractNumId w:val="9"/>
  </w:num>
  <w:num w:numId="22">
    <w:abstractNumId w:val="4"/>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072A6"/>
    <w:rsid w:val="0002139B"/>
    <w:rsid w:val="0003449E"/>
    <w:rsid w:val="00053A16"/>
    <w:rsid w:val="000879EE"/>
    <w:rsid w:val="000B2BBC"/>
    <w:rsid w:val="000C32DE"/>
    <w:rsid w:val="00107F59"/>
    <w:rsid w:val="00111C3F"/>
    <w:rsid w:val="00135EB4"/>
    <w:rsid w:val="00156CBE"/>
    <w:rsid w:val="0016232C"/>
    <w:rsid w:val="00177C64"/>
    <w:rsid w:val="001D3BEE"/>
    <w:rsid w:val="002176A4"/>
    <w:rsid w:val="00223C5F"/>
    <w:rsid w:val="00242695"/>
    <w:rsid w:val="00260455"/>
    <w:rsid w:val="00270A07"/>
    <w:rsid w:val="002C3A04"/>
    <w:rsid w:val="002E159B"/>
    <w:rsid w:val="002F5D50"/>
    <w:rsid w:val="0032476C"/>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96CFB"/>
    <w:rsid w:val="00497A2D"/>
    <w:rsid w:val="004B6D0A"/>
    <w:rsid w:val="004E344D"/>
    <w:rsid w:val="005067BF"/>
    <w:rsid w:val="00522F4D"/>
    <w:rsid w:val="005273CE"/>
    <w:rsid w:val="005478A7"/>
    <w:rsid w:val="005523DE"/>
    <w:rsid w:val="005602DB"/>
    <w:rsid w:val="005840EB"/>
    <w:rsid w:val="005D6ADF"/>
    <w:rsid w:val="00603AE1"/>
    <w:rsid w:val="006178DE"/>
    <w:rsid w:val="006275C9"/>
    <w:rsid w:val="00647E51"/>
    <w:rsid w:val="00651460"/>
    <w:rsid w:val="006B327C"/>
    <w:rsid w:val="006E7CA1"/>
    <w:rsid w:val="006F0C78"/>
    <w:rsid w:val="007306D0"/>
    <w:rsid w:val="0073507C"/>
    <w:rsid w:val="00743BB9"/>
    <w:rsid w:val="00777FBF"/>
    <w:rsid w:val="007E0D62"/>
    <w:rsid w:val="007F0D50"/>
    <w:rsid w:val="008058F0"/>
    <w:rsid w:val="00807348"/>
    <w:rsid w:val="00811425"/>
    <w:rsid w:val="00830C4B"/>
    <w:rsid w:val="00850F58"/>
    <w:rsid w:val="008542B0"/>
    <w:rsid w:val="008730CF"/>
    <w:rsid w:val="00876A65"/>
    <w:rsid w:val="008775FC"/>
    <w:rsid w:val="0088112B"/>
    <w:rsid w:val="008948B4"/>
    <w:rsid w:val="00897029"/>
    <w:rsid w:val="008A132E"/>
    <w:rsid w:val="00904F41"/>
    <w:rsid w:val="00910E38"/>
    <w:rsid w:val="00954AE4"/>
    <w:rsid w:val="00957ECD"/>
    <w:rsid w:val="0099193C"/>
    <w:rsid w:val="009E0946"/>
    <w:rsid w:val="009F0851"/>
    <w:rsid w:val="00A00D26"/>
    <w:rsid w:val="00A67192"/>
    <w:rsid w:val="00A6729E"/>
    <w:rsid w:val="00A67E4B"/>
    <w:rsid w:val="00A73636"/>
    <w:rsid w:val="00A75C54"/>
    <w:rsid w:val="00B20D7C"/>
    <w:rsid w:val="00B5541C"/>
    <w:rsid w:val="00B64404"/>
    <w:rsid w:val="00B731A9"/>
    <w:rsid w:val="00B81A2C"/>
    <w:rsid w:val="00BA321E"/>
    <w:rsid w:val="00BE2637"/>
    <w:rsid w:val="00C2438E"/>
    <w:rsid w:val="00C26E62"/>
    <w:rsid w:val="00C844B6"/>
    <w:rsid w:val="00CA18A2"/>
    <w:rsid w:val="00CC3307"/>
    <w:rsid w:val="00CC4555"/>
    <w:rsid w:val="00CC46CB"/>
    <w:rsid w:val="00CD49E8"/>
    <w:rsid w:val="00CE26B7"/>
    <w:rsid w:val="00D01D5E"/>
    <w:rsid w:val="00D34CEB"/>
    <w:rsid w:val="00D550AC"/>
    <w:rsid w:val="00D61D2C"/>
    <w:rsid w:val="00D71205"/>
    <w:rsid w:val="00D81809"/>
    <w:rsid w:val="00DD6AA7"/>
    <w:rsid w:val="00E24213"/>
    <w:rsid w:val="00E35D69"/>
    <w:rsid w:val="00E567DE"/>
    <w:rsid w:val="00E6765F"/>
    <w:rsid w:val="00E82A15"/>
    <w:rsid w:val="00EF4A13"/>
    <w:rsid w:val="00EF4F99"/>
    <w:rsid w:val="00F02FC9"/>
    <w:rsid w:val="00F13A46"/>
    <w:rsid w:val="00F25FDD"/>
    <w:rsid w:val="00F6466F"/>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5AC10DC-0D07-466D-AD6A-9D3350D6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88112B"/>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numbering" Target="numbering.xml"/><Relationship Id="rId9" Type="http://schemas.openxmlformats.org/officeDocument/2006/relationships/hyperlink" Target="https://schoolsequella.det.nsw.edu.au/file/a240a1ff-d3e3-4883-92b4-a3591f4e12d7/1/leading-and-operating-department-preschool-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F7A0D-9914-41B8-8C14-8CB031C2DD15}">
  <ds:schemaRefs>
    <ds:schemaRef ds:uri="http://schemas.microsoft.com/sharepoint/v3/contenttype/forms"/>
  </ds:schemaRefs>
</ds:datastoreItem>
</file>

<file path=customXml/itemProps2.xml><?xml version="1.0" encoding="utf-8"?>
<ds:datastoreItem xmlns:ds="http://schemas.openxmlformats.org/officeDocument/2006/customXml" ds:itemID="{308B484B-6E14-4DE8-8EB2-E95AA33B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C2D93-F5BD-42C7-8E7A-E0BD1C20F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630</Words>
  <Characters>3593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4215</CharactersWithSpaces>
  <SharedDoc>false</SharedDoc>
  <HLinks>
    <vt:vector size="12" baseType="variant">
      <vt:variant>
        <vt:i4>2293820</vt:i4>
      </vt:variant>
      <vt:variant>
        <vt:i4>3</vt:i4>
      </vt:variant>
      <vt:variant>
        <vt:i4>0</vt:i4>
      </vt:variant>
      <vt:variant>
        <vt:i4>5</vt:i4>
      </vt:variant>
      <vt:variant>
        <vt:lpwstr>https://education.nsw.gov.au/teaching-and-learning/curriculum/preschool/policies-and-procedures</vt:lpwstr>
      </vt:variant>
      <vt:variant>
        <vt:lpwstr/>
      </vt:variant>
      <vt:variant>
        <vt:i4>6684724</vt:i4>
      </vt:variant>
      <vt:variant>
        <vt:i4>0</vt:i4>
      </vt:variant>
      <vt:variant>
        <vt:i4>0</vt:i4>
      </vt:variant>
      <vt:variant>
        <vt:i4>5</vt:i4>
      </vt:variant>
      <vt:variant>
        <vt:lpwstr>https://schoolsequella.det.nsw.edu.au/file/a240a1ff-d3e3-4883-92b4-a3591f4e12d7/1/leading-and-operating-department-preschool-guidelines.pdf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Birkett</dc:creator>
  <cp:keywords/>
  <cp:lastModifiedBy>Rebecca Dodds</cp:lastModifiedBy>
  <cp:revision>27</cp:revision>
  <cp:lastPrinted>2017-08-24T20:50:00Z</cp:lastPrinted>
  <dcterms:created xsi:type="dcterms:W3CDTF">2020-08-03T00:39:00Z</dcterms:created>
  <dcterms:modified xsi:type="dcterms:W3CDTF">2020-09-27T16:58:00Z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