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A75" w14:textId="17B2BE30"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9264"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2228" id="_x0000_t202" coordsize="21600,21600" o:spt="202" path="m,l,21600r21600,l21600,xe">
                <v:stroke joinstyle="miter"/>
                <v:path gradientshapeok="t" o:connecttype="rect"/>
              </v:shapetype>
              <v:shape id="Text Box 2" o:spid="_x0000_s1026" type="#_x0000_t202" style="position:absolute;margin-left:453pt;margin-top:.15pt;width:80.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stroked="f">
                <v:textbo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8">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eastAsia="Arial" w:hAnsi="Arial" w:cs="Arial"/>
          <w:b/>
          <w:color w:val="0070C0"/>
          <w:sz w:val="30"/>
          <w:szCs w:val="30"/>
        </w:rPr>
        <w:t>Waratah</w:t>
      </w:r>
      <w:r w:rsidR="002F5D50">
        <w:rPr>
          <w:rFonts w:ascii="Arial" w:eastAsia="Arial" w:hAnsi="Arial" w:cs="Arial"/>
          <w:b/>
          <w:color w:val="0070C0"/>
          <w:sz w:val="30"/>
          <w:szCs w:val="30"/>
        </w:rPr>
        <w:t xml:space="preserve"> Public School Preschool</w:t>
      </w:r>
      <w:r w:rsidR="00EF4A13">
        <w:rPr>
          <w:rFonts w:ascii="Arial" w:eastAsia="Arial" w:hAnsi="Arial" w:cs="Arial"/>
          <w:b/>
          <w:color w:val="0070C0"/>
          <w:sz w:val="30"/>
          <w:szCs w:val="30"/>
        </w:rPr>
        <w:t xml:space="preserve"> Procedure</w:t>
      </w:r>
    </w:p>
    <w:p w14:paraId="3863B185" w14:textId="489FE06E" w:rsidR="00B5541C" w:rsidRPr="006275C9" w:rsidRDefault="005067BF" w:rsidP="006275C9">
      <w:pPr>
        <w:ind w:left="720" w:hanging="720"/>
        <w:rPr>
          <w:rFonts w:ascii="Arial" w:eastAsia="Arial" w:hAnsi="Arial" w:cs="Arial"/>
          <w:b/>
          <w:color w:val="0070C0"/>
          <w:sz w:val="36"/>
          <w:szCs w:val="36"/>
        </w:rPr>
      </w:pPr>
      <w:r>
        <w:rPr>
          <w:rFonts w:ascii="Arial" w:eastAsia="Arial" w:hAnsi="Arial" w:cs="Arial"/>
          <w:b/>
          <w:color w:val="0070C0"/>
          <w:sz w:val="36"/>
          <w:szCs w:val="36"/>
        </w:rPr>
        <w:t>Water Safety Procedure</w:t>
      </w:r>
    </w:p>
    <w:p w14:paraId="3C0BBDB2" w14:textId="10C4B360"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B20D7C">
        <w:rPr>
          <w:rFonts w:ascii="Arial" w:hAnsi="Arial" w:cs="Arial"/>
          <w:b/>
          <w:color w:val="0070C0"/>
          <w:sz w:val="24"/>
          <w:szCs w:val="24"/>
          <w:lang w:val="en-US"/>
        </w:rPr>
        <w:t>2/</w:t>
      </w:r>
      <w:r w:rsidR="00270A07">
        <w:rPr>
          <w:rFonts w:ascii="Arial" w:hAnsi="Arial" w:cs="Arial"/>
          <w:b/>
          <w:color w:val="0070C0"/>
          <w:sz w:val="24"/>
          <w:szCs w:val="24"/>
          <w:lang w:val="en-US"/>
        </w:rPr>
        <w:t>8</w:t>
      </w:r>
      <w:r w:rsidR="00B20D7C">
        <w:rPr>
          <w:rFonts w:ascii="Arial" w:hAnsi="Arial" w:cs="Arial"/>
          <w:b/>
          <w:color w:val="0070C0"/>
          <w:sz w:val="24"/>
          <w:szCs w:val="24"/>
          <w:lang w:val="en-US"/>
        </w:rPr>
        <w:t>/20</w:t>
      </w:r>
      <w:r>
        <w:rPr>
          <w:rFonts w:ascii="Arial" w:hAnsi="Arial" w:cs="Arial"/>
          <w:b/>
          <w:color w:val="0070C0"/>
          <w:sz w:val="24"/>
          <w:szCs w:val="24"/>
          <w:lang w:val="en-US"/>
        </w:rPr>
        <w:t xml:space="preserve"> </w:t>
      </w: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10"/>
        <w:gridCol w:w="1418"/>
        <w:gridCol w:w="1701"/>
        <w:gridCol w:w="1417"/>
      </w:tblGrid>
      <w:tr w:rsidR="006275C9" w:rsidRPr="00EF4A13" w14:paraId="1CF3881D" w14:textId="7109CE5B" w:rsidTr="006275C9">
        <w:trPr>
          <w:trHeight w:val="120"/>
        </w:trPr>
        <w:tc>
          <w:tcPr>
            <w:tcW w:w="226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209CDCB0" w:rsidR="006275C9" w:rsidRPr="00270A07" w:rsidRDefault="00242695" w:rsidP="006275C9">
            <w:pPr>
              <w:spacing w:line="240" w:lineRule="auto"/>
              <w:jc w:val="center"/>
              <w:rPr>
                <w:rFonts w:cstheme="minorHAnsi"/>
                <w:b/>
              </w:rPr>
            </w:pPr>
            <w:r w:rsidRPr="00270A07">
              <w:rPr>
                <w:rFonts w:eastAsia="Arial" w:cs="Arial"/>
                <w:bCs/>
                <w:lang w:bidi="en-US"/>
              </w:rPr>
              <w:t>Education and Care Services National Law or Regulation</w:t>
            </w:r>
          </w:p>
        </w:tc>
        <w:tc>
          <w:tcPr>
            <w:tcW w:w="41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64F69A96" w:rsidR="006275C9" w:rsidRPr="00270A07" w:rsidRDefault="00242695" w:rsidP="006275C9">
            <w:pPr>
              <w:spacing w:line="240" w:lineRule="auto"/>
              <w:jc w:val="center"/>
              <w:rPr>
                <w:rFonts w:cstheme="minorHAnsi"/>
                <w:b/>
              </w:rPr>
            </w:pPr>
            <w:r w:rsidRPr="00270A07">
              <w:rPr>
                <w:rFonts w:eastAsia="Arial" w:cs="Arial"/>
                <w:bCs/>
                <w:lang w:bidi="en-US"/>
              </w:rPr>
              <w:t>Associated department policy, procedure or guideline</w:t>
            </w:r>
          </w:p>
        </w:tc>
        <w:tc>
          <w:tcPr>
            <w:tcW w:w="14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FE577E8" w14:textId="41C637C9" w:rsidR="006275C9" w:rsidRPr="00270A07" w:rsidRDefault="00267C32" w:rsidP="006275C9">
            <w:pPr>
              <w:spacing w:line="240" w:lineRule="auto"/>
              <w:jc w:val="center"/>
              <w:rPr>
                <w:rFonts w:eastAsia="Arial" w:cstheme="minorHAnsi"/>
              </w:rPr>
            </w:pPr>
            <w:hyperlink r:id="rId9" w:history="1">
              <w:r w:rsidR="006275C9" w:rsidRPr="00270A07">
                <w:rPr>
                  <w:rStyle w:val="Hyperlink"/>
                  <w:rFonts w:eastAsia="Arial" w:cstheme="minorHAnsi"/>
                </w:rPr>
                <w:t>Preschool Guidelines</w:t>
              </w:r>
            </w:hyperlink>
            <w:r w:rsidR="006275C9" w:rsidRPr="00270A07">
              <w:rPr>
                <w:rFonts w:eastAsia="Arial" w:cstheme="minorHAnsi"/>
              </w:rPr>
              <w:t xml:space="preserve"> 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35EDE0" w14:textId="46A28A5E" w:rsidR="006275C9" w:rsidRPr="00651460" w:rsidRDefault="00242695" w:rsidP="006275C9">
            <w:pPr>
              <w:spacing w:line="240" w:lineRule="auto"/>
              <w:jc w:val="center"/>
              <w:rPr>
                <w:rFonts w:eastAsia="Arial" w:cstheme="minorHAnsi"/>
                <w:sz w:val="24"/>
                <w:szCs w:val="24"/>
              </w:rPr>
            </w:pPr>
            <w:r w:rsidRPr="00651460">
              <w:rPr>
                <w:rFonts w:eastAsia="Arial" w:cs="Arial"/>
                <w:bCs/>
                <w:lang w:bidi="en-US"/>
              </w:rPr>
              <w:t>Associated National Quality Standard</w:t>
            </w:r>
          </w:p>
        </w:tc>
        <w:tc>
          <w:tcPr>
            <w:tcW w:w="141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03E68C7" w14:textId="4B0A4B8C" w:rsidR="006275C9" w:rsidRPr="00651460" w:rsidRDefault="006275C9" w:rsidP="006275C9">
            <w:pPr>
              <w:spacing w:line="240" w:lineRule="auto"/>
              <w:jc w:val="center"/>
              <w:rPr>
                <w:rFonts w:cstheme="minorHAnsi"/>
                <w:sz w:val="24"/>
                <w:szCs w:val="24"/>
              </w:rPr>
            </w:pPr>
            <w:r w:rsidRPr="00651460">
              <w:rPr>
                <w:rFonts w:cstheme="minorHAnsi"/>
              </w:rPr>
              <w:t>School policy or procedure</w:t>
            </w:r>
          </w:p>
        </w:tc>
      </w:tr>
      <w:tr w:rsidR="006275C9" w:rsidRPr="00D61D2C" w14:paraId="0751E14E" w14:textId="15466D8B" w:rsidTr="006275C9">
        <w:trPr>
          <w:trHeight w:val="120"/>
        </w:trPr>
        <w:tc>
          <w:tcPr>
            <w:tcW w:w="2269" w:type="dxa"/>
            <w:shd w:val="clear" w:color="auto" w:fill="FFFFFF"/>
          </w:tcPr>
          <w:p w14:paraId="202A1C74" w14:textId="77777777" w:rsidR="006275C9" w:rsidRDefault="006275C9" w:rsidP="00242695">
            <w:pPr>
              <w:shd w:val="clear" w:color="auto" w:fill="FFFFFF"/>
              <w:spacing w:before="100" w:beforeAutospacing="1" w:after="100" w:afterAutospacing="1" w:line="240" w:lineRule="auto"/>
              <w:jc w:val="center"/>
              <w:rPr>
                <w:rFonts w:cstheme="minorHAnsi"/>
              </w:rPr>
            </w:pPr>
          </w:p>
          <w:p w14:paraId="090D5710" w14:textId="4D38AB1B" w:rsidR="00C26E62" w:rsidRPr="00270A07" w:rsidRDefault="00C26E62" w:rsidP="00242695">
            <w:pPr>
              <w:shd w:val="clear" w:color="auto" w:fill="FFFFFF"/>
              <w:spacing w:before="100" w:beforeAutospacing="1" w:after="100" w:afterAutospacing="1" w:line="240" w:lineRule="auto"/>
              <w:jc w:val="center"/>
              <w:rPr>
                <w:rFonts w:cstheme="minorHAnsi"/>
              </w:rPr>
            </w:pPr>
            <w:r>
              <w:rPr>
                <w:rFonts w:cstheme="minorHAnsi"/>
              </w:rPr>
              <w:t>101</w:t>
            </w:r>
          </w:p>
        </w:tc>
        <w:tc>
          <w:tcPr>
            <w:tcW w:w="4110" w:type="dxa"/>
            <w:shd w:val="clear" w:color="auto" w:fill="FFFFFF"/>
          </w:tcPr>
          <w:p w14:paraId="42C50B39" w14:textId="77777777" w:rsidR="006275C9" w:rsidRPr="00270A07" w:rsidRDefault="006275C9" w:rsidP="00A6729E">
            <w:pPr>
              <w:shd w:val="clear" w:color="auto" w:fill="FFFFFF"/>
              <w:spacing w:before="100" w:beforeAutospacing="1" w:after="100" w:afterAutospacing="1" w:line="240" w:lineRule="auto"/>
              <w:rPr>
                <w:rFonts w:eastAsia="Times New Roman" w:cstheme="minorHAnsi"/>
                <w:color w:val="0070C0"/>
                <w:spacing w:val="2"/>
                <w:lang w:eastAsia="en-AU"/>
              </w:rPr>
            </w:pPr>
            <w:r w:rsidRPr="00270A07">
              <w:rPr>
                <w:rFonts w:eastAsia="Times New Roman" w:cstheme="minorHAnsi"/>
                <w:color w:val="000000"/>
                <w:spacing w:val="2"/>
                <w:lang w:eastAsia="en-AU"/>
              </w:rPr>
              <w:t xml:space="preserve">The following department policies and relevant documents can be accessed from the </w:t>
            </w:r>
            <w:r w:rsidRPr="00270A07">
              <w:rPr>
                <w:rFonts w:eastAsia="Times New Roman" w:cstheme="minorHAnsi"/>
                <w:color w:val="000000" w:themeColor="text1"/>
                <w:spacing w:val="2"/>
                <w:lang w:eastAsia="en-AU"/>
              </w:rPr>
              <w:t xml:space="preserve">preschool section of the department’s </w:t>
            </w:r>
            <w:hyperlink r:id="rId10" w:history="1">
              <w:r w:rsidRPr="00270A07">
                <w:rPr>
                  <w:rStyle w:val="Hyperlink"/>
                  <w:rFonts w:eastAsia="Times New Roman" w:cstheme="minorHAnsi"/>
                  <w:spacing w:val="2"/>
                  <w:lang w:eastAsia="en-AU"/>
                </w:rPr>
                <w:t>website</w:t>
              </w:r>
            </w:hyperlink>
            <w:r w:rsidRPr="00270A07">
              <w:rPr>
                <w:rFonts w:eastAsia="Times New Roman" w:cstheme="minorHAnsi"/>
                <w:color w:val="000000" w:themeColor="text1"/>
                <w:spacing w:val="2"/>
                <w:lang w:eastAsia="en-AU"/>
              </w:rPr>
              <w:t>;</w:t>
            </w:r>
          </w:p>
          <w:p w14:paraId="009680A3" w14:textId="1D288FF1" w:rsidR="006275C9" w:rsidRDefault="00C26E62" w:rsidP="006275C9">
            <w:pPr>
              <w:pStyle w:val="ListParagraph"/>
              <w:numPr>
                <w:ilvl w:val="0"/>
                <w:numId w:val="16"/>
              </w:numPr>
              <w:spacing w:before="100" w:beforeAutospacing="1" w:after="100" w:afterAutospacing="1" w:line="240" w:lineRule="auto"/>
              <w:rPr>
                <w:rFonts w:eastAsia="Times New Roman" w:cstheme="minorHAnsi"/>
                <w:lang w:val="en" w:eastAsia="en-AU"/>
              </w:rPr>
            </w:pPr>
            <w:r>
              <w:rPr>
                <w:rFonts w:eastAsia="Times New Roman" w:cstheme="minorHAnsi"/>
                <w:lang w:val="en" w:eastAsia="en-AU"/>
              </w:rPr>
              <w:t>Excursions Policy</w:t>
            </w:r>
          </w:p>
          <w:p w14:paraId="3E7918CC" w14:textId="7FA5F803" w:rsidR="00AC7F35" w:rsidRPr="00270A07" w:rsidRDefault="00AC7F35" w:rsidP="006275C9">
            <w:pPr>
              <w:pStyle w:val="ListParagraph"/>
              <w:numPr>
                <w:ilvl w:val="0"/>
                <w:numId w:val="16"/>
              </w:numPr>
              <w:spacing w:before="100" w:beforeAutospacing="1" w:after="100" w:afterAutospacing="1" w:line="240" w:lineRule="auto"/>
              <w:rPr>
                <w:rFonts w:eastAsia="Times New Roman" w:cstheme="minorHAnsi"/>
                <w:lang w:val="en" w:eastAsia="en-AU"/>
              </w:rPr>
            </w:pPr>
            <w:r>
              <w:rPr>
                <w:rFonts w:eastAsia="Times New Roman" w:cstheme="minorHAnsi"/>
                <w:lang w:val="en" w:eastAsia="en-AU"/>
              </w:rPr>
              <w:t>Preschool: Providing a Child-safe environment procedure</w:t>
            </w:r>
          </w:p>
        </w:tc>
        <w:tc>
          <w:tcPr>
            <w:tcW w:w="1418" w:type="dxa"/>
            <w:shd w:val="clear" w:color="auto" w:fill="FFFFFF"/>
          </w:tcPr>
          <w:p w14:paraId="46B92D8A" w14:textId="77777777" w:rsidR="006275C9" w:rsidRPr="00270A07" w:rsidRDefault="006275C9" w:rsidP="00AC7F35">
            <w:pPr>
              <w:jc w:val="center"/>
              <w:rPr>
                <w:rFonts w:cstheme="minorHAnsi"/>
              </w:rPr>
            </w:pPr>
          </w:p>
          <w:p w14:paraId="09F58F2D" w14:textId="77777777" w:rsidR="006275C9" w:rsidRDefault="00AC7F35" w:rsidP="00AC7F35">
            <w:pPr>
              <w:jc w:val="center"/>
              <w:rPr>
                <w:rFonts w:cstheme="minorHAnsi"/>
              </w:rPr>
            </w:pPr>
            <w:r>
              <w:rPr>
                <w:rFonts w:cstheme="minorHAnsi"/>
              </w:rPr>
              <w:t>p. 40</w:t>
            </w:r>
          </w:p>
          <w:p w14:paraId="4914E265" w14:textId="01412E38" w:rsidR="00AC7F35" w:rsidRPr="00270A07" w:rsidRDefault="00AC7F35" w:rsidP="00AC7F35">
            <w:pPr>
              <w:jc w:val="center"/>
              <w:rPr>
                <w:rFonts w:cstheme="minorHAnsi"/>
              </w:rPr>
            </w:pPr>
            <w:r>
              <w:rPr>
                <w:rFonts w:cstheme="minorHAnsi"/>
              </w:rPr>
              <w:t>p. 45</w:t>
            </w:r>
          </w:p>
        </w:tc>
        <w:tc>
          <w:tcPr>
            <w:tcW w:w="1701" w:type="dxa"/>
            <w:shd w:val="clear" w:color="auto" w:fill="FFFFFF"/>
          </w:tcPr>
          <w:p w14:paraId="7D15BC38" w14:textId="77777777" w:rsidR="006275C9" w:rsidRDefault="006275C9" w:rsidP="006275C9">
            <w:pPr>
              <w:spacing w:line="240" w:lineRule="auto"/>
              <w:jc w:val="center"/>
              <w:rPr>
                <w:rFonts w:cstheme="minorHAnsi"/>
                <w:sz w:val="24"/>
                <w:szCs w:val="24"/>
              </w:rPr>
            </w:pPr>
          </w:p>
          <w:p w14:paraId="413E1FAC" w14:textId="7E42109F" w:rsidR="00C26E62" w:rsidRPr="00CC4555" w:rsidRDefault="00C26E62" w:rsidP="006275C9">
            <w:pPr>
              <w:spacing w:line="240" w:lineRule="auto"/>
              <w:jc w:val="center"/>
              <w:rPr>
                <w:rFonts w:cstheme="minorHAnsi"/>
                <w:sz w:val="24"/>
                <w:szCs w:val="24"/>
              </w:rPr>
            </w:pPr>
            <w:r>
              <w:rPr>
                <w:rFonts w:cstheme="minorHAnsi"/>
                <w:sz w:val="24"/>
                <w:szCs w:val="24"/>
              </w:rPr>
              <w:t>2.2</w:t>
            </w:r>
          </w:p>
        </w:tc>
        <w:tc>
          <w:tcPr>
            <w:tcW w:w="1417" w:type="dxa"/>
            <w:shd w:val="clear" w:color="auto" w:fill="FFFFFF"/>
          </w:tcPr>
          <w:p w14:paraId="49E51967" w14:textId="77777777" w:rsidR="006275C9" w:rsidRPr="00CC4555" w:rsidRDefault="006275C9" w:rsidP="00CC3307">
            <w:pPr>
              <w:spacing w:line="240" w:lineRule="auto"/>
              <w:rPr>
                <w:rFonts w:cstheme="minorHAnsi"/>
                <w:sz w:val="24"/>
                <w:szCs w:val="24"/>
              </w:rPr>
            </w:pPr>
          </w:p>
        </w:tc>
      </w:tr>
      <w:tr w:rsidR="006275C9" w:rsidRPr="00387AEC" w14:paraId="5CBC0EE5" w14:textId="750C6F30" w:rsidTr="00AB500D">
        <w:trPr>
          <w:trHeight w:val="120"/>
        </w:trPr>
        <w:tc>
          <w:tcPr>
            <w:tcW w:w="10915" w:type="dxa"/>
            <w:gridSpan w:val="5"/>
            <w:shd w:val="clear" w:color="auto" w:fill="FFFFFF"/>
          </w:tcPr>
          <w:p w14:paraId="4C4828BD" w14:textId="2D27F75F" w:rsidR="00DC2BE8" w:rsidRPr="00267C32" w:rsidRDefault="00B24254" w:rsidP="00267C32">
            <w:pPr>
              <w:spacing w:before="240" w:after="200" w:line="276" w:lineRule="auto"/>
              <w:contextualSpacing/>
              <w:rPr>
                <w:rFonts w:cs="Arial"/>
                <w:sz w:val="24"/>
                <w:szCs w:val="24"/>
              </w:rPr>
            </w:pPr>
            <w:r w:rsidRPr="00267C32">
              <w:rPr>
                <w:rFonts w:ascii="Calibri" w:hAnsi="Calibri" w:cs="Calibri"/>
                <w:sz w:val="24"/>
                <w:szCs w:val="24"/>
              </w:rPr>
              <w:t>Activities using the provision of water require adequate supervision of an educator. These activities constitute a possible drowning hazard.</w:t>
            </w:r>
            <w:r w:rsidR="00DC2BE8" w:rsidRPr="00267C32">
              <w:rPr>
                <w:rFonts w:ascii="Calibri" w:hAnsi="Calibri" w:cs="Calibri"/>
                <w:sz w:val="24"/>
                <w:szCs w:val="24"/>
              </w:rPr>
              <w:t xml:space="preserve"> </w:t>
            </w:r>
            <w:r w:rsidR="00DC2BE8" w:rsidRPr="00267C32">
              <w:rPr>
                <w:rFonts w:ascii="Calibri" w:hAnsi="Calibri" w:cs="Calibri"/>
                <w:sz w:val="24"/>
                <w:szCs w:val="24"/>
              </w:rPr>
              <w:t>Educators must ensure that children are kept safe from water hazards, including water containers.</w:t>
            </w:r>
          </w:p>
          <w:p w14:paraId="13D797FD" w14:textId="77777777" w:rsidR="00B24254" w:rsidRPr="00EC6052" w:rsidRDefault="00B24254" w:rsidP="00B24254">
            <w:pPr>
              <w:pStyle w:val="Body1"/>
              <w:rPr>
                <w:rFonts w:ascii="Calibri" w:hAnsi="Calibri" w:cs="Calibri"/>
              </w:rPr>
            </w:pPr>
          </w:p>
          <w:p w14:paraId="50EE9322" w14:textId="77777777" w:rsidR="00B24254" w:rsidRDefault="00B24254" w:rsidP="00B24254">
            <w:pPr>
              <w:pStyle w:val="Body1"/>
              <w:numPr>
                <w:ilvl w:val="0"/>
                <w:numId w:val="19"/>
              </w:numPr>
              <w:ind w:left="426" w:hanging="426"/>
              <w:rPr>
                <w:rFonts w:ascii="Calibri" w:hAnsi="Calibri" w:cs="Calibri"/>
              </w:rPr>
            </w:pPr>
            <w:r>
              <w:rPr>
                <w:rFonts w:ascii="Calibri" w:hAnsi="Calibri" w:cs="Calibri"/>
              </w:rPr>
              <w:t>All large containers of water, including tubs and troughs, are to be filled and stored away from the quarry and boat. This is to ensure that all containers are within sight of all educators regardless of supervision areas. Children can take small containers of water to the quarry (buckets, cups etc.)</w:t>
            </w:r>
          </w:p>
          <w:p w14:paraId="6B8F7177" w14:textId="77777777" w:rsidR="00B24254" w:rsidRPr="008E7AA9" w:rsidRDefault="00B24254" w:rsidP="00B24254">
            <w:pPr>
              <w:pStyle w:val="Body1"/>
              <w:rPr>
                <w:rFonts w:ascii="Calibri" w:hAnsi="Calibri" w:cs="Calibri"/>
              </w:rPr>
            </w:pPr>
          </w:p>
          <w:p w14:paraId="7ECA5208" w14:textId="648F3D7B" w:rsidR="008A1904" w:rsidRDefault="00B24254" w:rsidP="008A1904">
            <w:pPr>
              <w:pStyle w:val="Body1"/>
              <w:numPr>
                <w:ilvl w:val="0"/>
                <w:numId w:val="19"/>
              </w:numPr>
              <w:ind w:left="426" w:hanging="426"/>
              <w:rPr>
                <w:rFonts w:ascii="Calibri" w:hAnsi="Calibri" w:cs="Calibri"/>
                <w:b/>
                <w:u w:val="single"/>
              </w:rPr>
            </w:pPr>
            <w:r w:rsidRPr="002E0CB8">
              <w:rPr>
                <w:rFonts w:ascii="Calibri" w:hAnsi="Calibri" w:cs="Calibri"/>
              </w:rPr>
              <w:t>Water containers</w:t>
            </w:r>
            <w:r>
              <w:rPr>
                <w:rFonts w:ascii="Calibri" w:hAnsi="Calibri" w:cs="Calibri"/>
              </w:rPr>
              <w:t>/tubs/troughs</w:t>
            </w:r>
            <w:r w:rsidRPr="002E0CB8">
              <w:rPr>
                <w:rFonts w:ascii="Calibri" w:hAnsi="Calibri" w:cs="Calibri"/>
              </w:rPr>
              <w:t xml:space="preserve"> should not be filled until the area is adeq</w:t>
            </w:r>
            <w:r>
              <w:rPr>
                <w:rFonts w:ascii="Calibri" w:hAnsi="Calibri" w:cs="Calibri"/>
              </w:rPr>
              <w:t>uately supervised. These</w:t>
            </w:r>
            <w:r w:rsidRPr="002E0CB8">
              <w:rPr>
                <w:rFonts w:ascii="Calibri" w:hAnsi="Calibri" w:cs="Calibri"/>
              </w:rPr>
              <w:t xml:space="preserve"> must be emptied as </w:t>
            </w:r>
            <w:r>
              <w:rPr>
                <w:rFonts w:ascii="Calibri" w:hAnsi="Calibri" w:cs="Calibri"/>
              </w:rPr>
              <w:t>soon as the activity has ceased</w:t>
            </w:r>
            <w:r w:rsidRPr="002E0CB8">
              <w:rPr>
                <w:rFonts w:ascii="Calibri" w:hAnsi="Calibri" w:cs="Calibri"/>
              </w:rPr>
              <w:t xml:space="preserve"> </w:t>
            </w:r>
            <w:r>
              <w:rPr>
                <w:rFonts w:ascii="Calibri" w:hAnsi="Calibri" w:cs="Calibri"/>
              </w:rPr>
              <w:t xml:space="preserve">and stored, to prevent the collection of water </w:t>
            </w:r>
            <w:r w:rsidR="00E50843">
              <w:rPr>
                <w:rFonts w:ascii="Calibri" w:hAnsi="Calibri" w:cs="Calibri"/>
              </w:rPr>
              <w:t xml:space="preserve">from rainfall </w:t>
            </w:r>
            <w:r>
              <w:rPr>
                <w:rFonts w:ascii="Calibri" w:hAnsi="Calibri" w:cs="Calibri"/>
              </w:rPr>
              <w:t>when not in use.</w:t>
            </w:r>
          </w:p>
          <w:p w14:paraId="51ADF35A" w14:textId="77777777" w:rsidR="008A1904" w:rsidRPr="008A1904" w:rsidRDefault="008A1904" w:rsidP="008A1904">
            <w:pPr>
              <w:pStyle w:val="ListParagraph"/>
              <w:rPr>
                <w:rFonts w:ascii="Calibri" w:hAnsi="Calibri" w:cs="Calibri"/>
                <w:bCs/>
              </w:rPr>
            </w:pPr>
          </w:p>
          <w:p w14:paraId="66367185" w14:textId="08383171" w:rsidR="008A1904" w:rsidRDefault="008A1904" w:rsidP="008A1904">
            <w:pPr>
              <w:pStyle w:val="Body1"/>
              <w:numPr>
                <w:ilvl w:val="0"/>
                <w:numId w:val="19"/>
              </w:numPr>
              <w:ind w:left="426" w:hanging="426"/>
              <w:rPr>
                <w:rFonts w:ascii="Calibri" w:hAnsi="Calibri" w:cs="Calibri"/>
                <w:bCs/>
              </w:rPr>
            </w:pPr>
            <w:r w:rsidRPr="008A1904">
              <w:rPr>
                <w:rFonts w:ascii="Calibri" w:hAnsi="Calibri" w:cs="Calibri"/>
                <w:bCs/>
              </w:rPr>
              <w:t>Children have access to</w:t>
            </w:r>
            <w:r>
              <w:rPr>
                <w:rFonts w:ascii="Calibri" w:hAnsi="Calibri" w:cs="Calibri"/>
                <w:bCs/>
              </w:rPr>
              <w:t xml:space="preserve"> outdoor taps. A </w:t>
            </w:r>
            <w:proofErr w:type="spellStart"/>
            <w:r>
              <w:rPr>
                <w:rFonts w:ascii="Calibri" w:hAnsi="Calibri" w:cs="Calibri"/>
                <w:bCs/>
              </w:rPr>
              <w:t>Hoselink</w:t>
            </w:r>
            <w:proofErr w:type="spellEnd"/>
            <w:r>
              <w:rPr>
                <w:rFonts w:ascii="Calibri" w:hAnsi="Calibri" w:cs="Calibri"/>
                <w:bCs/>
              </w:rPr>
              <w:t xml:space="preserve"> tap with trigger is</w:t>
            </w:r>
            <w:r w:rsidR="00250B38">
              <w:rPr>
                <w:rFonts w:ascii="Calibri" w:hAnsi="Calibri" w:cs="Calibri"/>
                <w:bCs/>
              </w:rPr>
              <w:t xml:space="preserve"> installed to avoid the water being left on. Educators supervise the watering of gardens and independent filling of containers. </w:t>
            </w:r>
          </w:p>
          <w:p w14:paraId="6ECD784A" w14:textId="77777777" w:rsidR="00250B38" w:rsidRPr="008A1904" w:rsidRDefault="00250B38" w:rsidP="00250B38">
            <w:pPr>
              <w:pStyle w:val="Body1"/>
              <w:rPr>
                <w:rFonts w:ascii="Calibri" w:hAnsi="Calibri" w:cs="Calibri"/>
                <w:bCs/>
              </w:rPr>
            </w:pPr>
          </w:p>
          <w:p w14:paraId="33A89DCF" w14:textId="01FD0DA4" w:rsidR="00BA4841" w:rsidRPr="008A1904" w:rsidRDefault="00BA4841" w:rsidP="00B24254">
            <w:pPr>
              <w:pStyle w:val="Body1"/>
              <w:numPr>
                <w:ilvl w:val="0"/>
                <w:numId w:val="19"/>
              </w:numPr>
              <w:ind w:left="426" w:hanging="426"/>
              <w:rPr>
                <w:rFonts w:ascii="Calibri" w:hAnsi="Calibri" w:cs="Calibri"/>
                <w:bCs/>
              </w:rPr>
            </w:pPr>
            <w:r w:rsidRPr="008A1904">
              <w:rPr>
                <w:rFonts w:ascii="Calibri" w:hAnsi="Calibri" w:cs="Calibri"/>
                <w:bCs/>
              </w:rPr>
              <w:t>Educating families by sharing this procedure, to ensure water-safe practices are understood and being implemented in the home environment.</w:t>
            </w:r>
          </w:p>
          <w:p w14:paraId="2FE7C613" w14:textId="77777777" w:rsidR="00B24254" w:rsidRPr="003F7552" w:rsidRDefault="00B24254" w:rsidP="00B24254">
            <w:pPr>
              <w:pStyle w:val="Body1"/>
              <w:rPr>
                <w:rFonts w:ascii="Calibri" w:hAnsi="Calibri" w:cs="Calibri"/>
                <w:b/>
                <w:u w:val="single"/>
              </w:rPr>
            </w:pPr>
          </w:p>
          <w:p w14:paraId="69A68311" w14:textId="65224428" w:rsidR="00B24254" w:rsidRPr="003F7552" w:rsidRDefault="00B24254" w:rsidP="00B24254">
            <w:pPr>
              <w:pStyle w:val="Body1"/>
              <w:numPr>
                <w:ilvl w:val="0"/>
                <w:numId w:val="19"/>
              </w:numPr>
              <w:ind w:left="426" w:hanging="426"/>
              <w:rPr>
                <w:rFonts w:ascii="Calibri" w:hAnsi="Calibri" w:cs="Calibri"/>
                <w:b/>
                <w:u w:val="single"/>
              </w:rPr>
            </w:pPr>
            <w:r>
              <w:rPr>
                <w:rFonts w:ascii="Calibri" w:hAnsi="Calibri" w:cs="Calibri"/>
              </w:rPr>
              <w:t>Mop b</w:t>
            </w:r>
            <w:r w:rsidRPr="002E0CB8">
              <w:rPr>
                <w:rFonts w:ascii="Calibri" w:hAnsi="Calibri" w:cs="Calibri"/>
              </w:rPr>
              <w:t xml:space="preserve">uckets used for cleaning must be emptied </w:t>
            </w:r>
            <w:r w:rsidR="00BA4841">
              <w:rPr>
                <w:rFonts w:ascii="Calibri" w:hAnsi="Calibri" w:cs="Calibri"/>
              </w:rPr>
              <w:t>after</w:t>
            </w:r>
            <w:r w:rsidRPr="002E0CB8">
              <w:rPr>
                <w:rFonts w:ascii="Calibri" w:hAnsi="Calibri" w:cs="Calibri"/>
              </w:rPr>
              <w:t xml:space="preserve"> use. </w:t>
            </w:r>
            <w:r>
              <w:rPr>
                <w:rFonts w:ascii="Calibri" w:hAnsi="Calibri" w:cs="Calibri"/>
              </w:rPr>
              <w:t xml:space="preserve">These should be </w:t>
            </w:r>
            <w:r w:rsidR="00E50843">
              <w:rPr>
                <w:rFonts w:ascii="Calibri" w:hAnsi="Calibri" w:cs="Calibri"/>
              </w:rPr>
              <w:t xml:space="preserve">stored </w:t>
            </w:r>
            <w:r>
              <w:rPr>
                <w:rFonts w:ascii="Calibri" w:hAnsi="Calibri" w:cs="Calibri"/>
              </w:rPr>
              <w:t xml:space="preserve">in a locked </w:t>
            </w:r>
            <w:r w:rsidR="00BA4841">
              <w:rPr>
                <w:rFonts w:ascii="Calibri" w:hAnsi="Calibri" w:cs="Calibri"/>
              </w:rPr>
              <w:t>storeroom</w:t>
            </w:r>
            <w:r>
              <w:rPr>
                <w:rFonts w:ascii="Calibri" w:hAnsi="Calibri" w:cs="Calibri"/>
              </w:rPr>
              <w:t>.</w:t>
            </w:r>
          </w:p>
          <w:p w14:paraId="33FF1DE9" w14:textId="77777777" w:rsidR="00B24254" w:rsidRPr="008E7AA9" w:rsidRDefault="00B24254" w:rsidP="00B24254">
            <w:pPr>
              <w:pStyle w:val="Body1"/>
              <w:rPr>
                <w:rFonts w:ascii="Calibri" w:hAnsi="Calibri" w:cs="Calibri"/>
                <w:b/>
                <w:u w:val="single"/>
              </w:rPr>
            </w:pPr>
          </w:p>
          <w:p w14:paraId="5D2B3B59" w14:textId="3E1A113E" w:rsidR="00B24254" w:rsidRPr="00E16C86" w:rsidRDefault="00B24254" w:rsidP="00B24254">
            <w:pPr>
              <w:pStyle w:val="Body1"/>
              <w:numPr>
                <w:ilvl w:val="0"/>
                <w:numId w:val="19"/>
              </w:numPr>
              <w:ind w:left="426" w:hanging="426"/>
              <w:rPr>
                <w:rFonts w:ascii="Calibri" w:hAnsi="Calibri" w:cs="Calibri"/>
                <w:b/>
                <w:u w:val="single"/>
              </w:rPr>
            </w:pPr>
            <w:r w:rsidRPr="00445141">
              <w:rPr>
                <w:rFonts w:ascii="Calibri" w:hAnsi="Calibri" w:cs="Calibri"/>
              </w:rPr>
              <w:t xml:space="preserve">Holes have been made in </w:t>
            </w:r>
            <w:r w:rsidR="00BA4841">
              <w:rPr>
                <w:rFonts w:ascii="Calibri" w:hAnsi="Calibri" w:cs="Calibri"/>
              </w:rPr>
              <w:t xml:space="preserve">the base of the preschool </w:t>
            </w:r>
            <w:r w:rsidRPr="00445141">
              <w:rPr>
                <w:rFonts w:ascii="Calibri" w:hAnsi="Calibri" w:cs="Calibri"/>
              </w:rPr>
              <w:t>boat to manage drainage</w:t>
            </w:r>
            <w:r>
              <w:rPr>
                <w:rFonts w:ascii="Calibri" w:hAnsi="Calibri" w:cs="Calibri"/>
              </w:rPr>
              <w:t xml:space="preserve">. The </w:t>
            </w:r>
            <w:r w:rsidRPr="00445141">
              <w:rPr>
                <w:rFonts w:ascii="Calibri" w:hAnsi="Calibri" w:cs="Calibri"/>
              </w:rPr>
              <w:t xml:space="preserve">boat </w:t>
            </w:r>
            <w:r>
              <w:rPr>
                <w:rFonts w:ascii="Calibri" w:hAnsi="Calibri" w:cs="Calibri"/>
              </w:rPr>
              <w:t>must</w:t>
            </w:r>
            <w:r w:rsidRPr="00445141">
              <w:rPr>
                <w:rFonts w:ascii="Calibri" w:hAnsi="Calibri" w:cs="Calibri"/>
              </w:rPr>
              <w:t xml:space="preserve"> be checked each morning</w:t>
            </w:r>
            <w:r w:rsidR="00BA4841">
              <w:rPr>
                <w:rFonts w:ascii="Calibri" w:hAnsi="Calibri" w:cs="Calibri"/>
              </w:rPr>
              <w:t xml:space="preserve"> as part of the daily safety check</w:t>
            </w:r>
            <w:r w:rsidRPr="00445141">
              <w:rPr>
                <w:rFonts w:ascii="Calibri" w:hAnsi="Calibri" w:cs="Calibri"/>
              </w:rPr>
              <w:t xml:space="preserve"> to ensure there has been no build-up of water</w:t>
            </w:r>
            <w:r>
              <w:rPr>
                <w:rFonts w:ascii="Calibri" w:hAnsi="Calibri" w:cs="Calibri"/>
              </w:rPr>
              <w:t xml:space="preserve"> and action taken to remove water</w:t>
            </w:r>
            <w:r w:rsidR="00BA4841">
              <w:rPr>
                <w:rFonts w:ascii="Calibri" w:hAnsi="Calibri" w:cs="Calibri"/>
              </w:rPr>
              <w:t>,</w:t>
            </w:r>
            <w:r>
              <w:rPr>
                <w:rFonts w:ascii="Calibri" w:hAnsi="Calibri" w:cs="Calibri"/>
              </w:rPr>
              <w:t xml:space="preserve"> if necessary</w:t>
            </w:r>
            <w:r w:rsidR="00BA4841">
              <w:rPr>
                <w:rFonts w:ascii="Calibri" w:hAnsi="Calibri" w:cs="Calibri"/>
              </w:rPr>
              <w:t>,</w:t>
            </w:r>
            <w:r>
              <w:rPr>
                <w:rFonts w:ascii="Calibri" w:hAnsi="Calibri" w:cs="Calibri"/>
              </w:rPr>
              <w:t xml:space="preserve"> before children play.</w:t>
            </w:r>
          </w:p>
          <w:p w14:paraId="5E90BF04" w14:textId="77777777" w:rsidR="00B24254" w:rsidRPr="00E16C86" w:rsidRDefault="00B24254" w:rsidP="00B24254">
            <w:pPr>
              <w:pStyle w:val="Body1"/>
              <w:rPr>
                <w:rFonts w:ascii="Calibri" w:hAnsi="Calibri" w:cs="Calibri"/>
                <w:b/>
                <w:u w:val="single"/>
              </w:rPr>
            </w:pPr>
          </w:p>
          <w:p w14:paraId="5D1894D3" w14:textId="1D32C1A6" w:rsidR="00442FD3" w:rsidRDefault="00BA4841" w:rsidP="00442FD3">
            <w:pPr>
              <w:pStyle w:val="Body1"/>
              <w:numPr>
                <w:ilvl w:val="0"/>
                <w:numId w:val="19"/>
              </w:numPr>
              <w:spacing w:before="240" w:after="200" w:line="276" w:lineRule="auto"/>
              <w:ind w:left="426" w:hanging="426"/>
              <w:contextualSpacing/>
              <w:rPr>
                <w:rFonts w:asciiTheme="minorHAnsi" w:hAnsiTheme="minorHAnsi" w:cstheme="minorHAnsi"/>
              </w:rPr>
            </w:pPr>
            <w:r w:rsidRPr="008A1904">
              <w:rPr>
                <w:rFonts w:ascii="Calibri" w:hAnsi="Calibri" w:cs="Calibri"/>
                <w:bCs/>
              </w:rPr>
              <w:t>A pond is</w:t>
            </w:r>
            <w:r w:rsidRPr="008A1904">
              <w:rPr>
                <w:rFonts w:ascii="Calibri" w:hAnsi="Calibri" w:cs="Calibri"/>
              </w:rPr>
              <w:t xml:space="preserve"> l</w:t>
            </w:r>
            <w:r w:rsidR="00B24254" w:rsidRPr="008A1904">
              <w:rPr>
                <w:rFonts w:ascii="Calibri" w:hAnsi="Calibri" w:cs="Calibri"/>
              </w:rPr>
              <w:t xml:space="preserve">ocated in </w:t>
            </w:r>
            <w:r w:rsidRPr="008A1904">
              <w:rPr>
                <w:rFonts w:ascii="Calibri" w:hAnsi="Calibri" w:cs="Calibri"/>
              </w:rPr>
              <w:t xml:space="preserve">the </w:t>
            </w:r>
            <w:r w:rsidR="00B24254" w:rsidRPr="008A1904">
              <w:rPr>
                <w:rFonts w:ascii="Calibri" w:hAnsi="Calibri" w:cs="Calibri"/>
              </w:rPr>
              <w:t xml:space="preserve">gated </w:t>
            </w:r>
            <w:r w:rsidRPr="008A1904">
              <w:rPr>
                <w:rFonts w:ascii="Calibri" w:hAnsi="Calibri" w:cs="Calibri"/>
              </w:rPr>
              <w:t>sensory garden</w:t>
            </w:r>
            <w:r w:rsidR="00B24254" w:rsidRPr="008A1904">
              <w:rPr>
                <w:rFonts w:ascii="Calibri" w:hAnsi="Calibri" w:cs="Calibri"/>
              </w:rPr>
              <w:t xml:space="preserve">. Children </w:t>
            </w:r>
            <w:r w:rsidR="00763934" w:rsidRPr="008A1904">
              <w:rPr>
                <w:rFonts w:ascii="Calibri" w:hAnsi="Calibri" w:cs="Calibri"/>
              </w:rPr>
              <w:t>can enter</w:t>
            </w:r>
            <w:r w:rsidRPr="008A1904">
              <w:rPr>
                <w:rFonts w:ascii="Calibri" w:hAnsi="Calibri" w:cs="Calibri"/>
              </w:rPr>
              <w:t xml:space="preserve"> the garden with a supervising educator</w:t>
            </w:r>
            <w:r w:rsidR="00B24254" w:rsidRPr="008A1904">
              <w:rPr>
                <w:rFonts w:ascii="Calibri" w:hAnsi="Calibri" w:cs="Calibri"/>
              </w:rPr>
              <w:t>.</w:t>
            </w:r>
            <w:r w:rsidR="00353DC2" w:rsidRPr="008A1904">
              <w:rPr>
                <w:rFonts w:ascii="Calibri" w:hAnsi="Calibri" w:cs="Calibri"/>
              </w:rPr>
              <w:t xml:space="preserve"> The pond is covered with a mesh</w:t>
            </w:r>
            <w:r w:rsidR="008A1904" w:rsidRPr="008A1904">
              <w:rPr>
                <w:rFonts w:ascii="Calibri" w:hAnsi="Calibri" w:cs="Calibri"/>
              </w:rPr>
              <w:t xml:space="preserve"> structure to deter children from playing or falling into the </w:t>
            </w:r>
            <w:r w:rsidR="008A1904" w:rsidRPr="00442FD3">
              <w:rPr>
                <w:rFonts w:asciiTheme="minorHAnsi" w:hAnsiTheme="minorHAnsi" w:cstheme="minorHAnsi"/>
              </w:rPr>
              <w:t>pond. This water feature is included in the preschool playground risk assessment.</w:t>
            </w:r>
          </w:p>
          <w:p w14:paraId="3F3BC0D1" w14:textId="77777777" w:rsidR="00442FD3" w:rsidRPr="00442FD3" w:rsidRDefault="00442FD3" w:rsidP="00442FD3">
            <w:pPr>
              <w:pStyle w:val="Body1"/>
              <w:spacing w:before="240" w:after="200" w:line="276" w:lineRule="auto"/>
              <w:contextualSpacing/>
              <w:rPr>
                <w:rFonts w:asciiTheme="minorHAnsi" w:hAnsiTheme="minorHAnsi" w:cstheme="minorHAnsi"/>
              </w:rPr>
            </w:pPr>
          </w:p>
          <w:p w14:paraId="2AA6F419" w14:textId="1F4689D3" w:rsidR="00442FD3" w:rsidRDefault="00442FD3" w:rsidP="00442FD3">
            <w:pPr>
              <w:pStyle w:val="Body1"/>
              <w:numPr>
                <w:ilvl w:val="0"/>
                <w:numId w:val="19"/>
              </w:numPr>
              <w:spacing w:before="240" w:after="200" w:line="276" w:lineRule="auto"/>
              <w:ind w:left="426" w:hanging="426"/>
              <w:contextualSpacing/>
              <w:rPr>
                <w:rFonts w:asciiTheme="minorHAnsi" w:hAnsiTheme="minorHAnsi" w:cstheme="minorHAnsi"/>
              </w:rPr>
            </w:pPr>
            <w:r w:rsidRPr="00442FD3">
              <w:rPr>
                <w:rFonts w:asciiTheme="minorHAnsi" w:hAnsiTheme="minorHAnsi" w:cstheme="minorHAnsi"/>
              </w:rPr>
              <w:t>Hot water is available in the shower recess installed in each classroom, but these are temperature controlled and used by educators only.</w:t>
            </w:r>
          </w:p>
          <w:p w14:paraId="702229C8" w14:textId="77777777" w:rsidR="00442FD3" w:rsidRPr="00442FD3" w:rsidRDefault="00442FD3" w:rsidP="00442FD3">
            <w:pPr>
              <w:pStyle w:val="Body1"/>
              <w:spacing w:before="240" w:after="200" w:line="276" w:lineRule="auto"/>
              <w:contextualSpacing/>
              <w:rPr>
                <w:rFonts w:asciiTheme="minorHAnsi" w:hAnsiTheme="minorHAnsi" w:cstheme="minorHAnsi"/>
              </w:rPr>
            </w:pPr>
          </w:p>
          <w:p w14:paraId="63540DEC" w14:textId="144B6F24" w:rsidR="00442FD3" w:rsidRPr="00442FD3" w:rsidRDefault="00442FD3" w:rsidP="00113597">
            <w:pPr>
              <w:pStyle w:val="Body1"/>
              <w:numPr>
                <w:ilvl w:val="0"/>
                <w:numId w:val="19"/>
              </w:numPr>
              <w:spacing w:before="240" w:after="200" w:line="276" w:lineRule="auto"/>
              <w:ind w:left="426" w:hanging="426"/>
              <w:contextualSpacing/>
              <w:rPr>
                <w:rFonts w:asciiTheme="minorHAnsi" w:hAnsiTheme="minorHAnsi" w:cstheme="minorHAnsi"/>
              </w:rPr>
            </w:pPr>
            <w:r>
              <w:rPr>
                <w:rFonts w:asciiTheme="minorHAnsi" w:hAnsiTheme="minorHAnsi" w:cstheme="minorHAnsi"/>
              </w:rPr>
              <w:lastRenderedPageBreak/>
              <w:t>Adults are asked to not drink hot liquids around children, unless part of a supervised activity. This is</w:t>
            </w:r>
            <w:r w:rsidR="00267C32">
              <w:rPr>
                <w:rFonts w:asciiTheme="minorHAnsi" w:hAnsiTheme="minorHAnsi" w:cstheme="minorHAnsi"/>
              </w:rPr>
              <w:t xml:space="preserve"> communicated</w:t>
            </w:r>
            <w:r>
              <w:rPr>
                <w:rFonts w:asciiTheme="minorHAnsi" w:hAnsiTheme="minorHAnsi" w:cstheme="minorHAnsi"/>
              </w:rPr>
              <w:t xml:space="preserve"> during a whole school preschool induction at the start of </w:t>
            </w:r>
            <w:r w:rsidR="00267C32">
              <w:rPr>
                <w:rFonts w:asciiTheme="minorHAnsi" w:hAnsiTheme="minorHAnsi" w:cstheme="minorHAnsi"/>
              </w:rPr>
              <w:t>the</w:t>
            </w:r>
            <w:r>
              <w:rPr>
                <w:rFonts w:asciiTheme="minorHAnsi" w:hAnsiTheme="minorHAnsi" w:cstheme="minorHAnsi"/>
              </w:rPr>
              <w:t xml:space="preserve"> year.</w:t>
            </w:r>
          </w:p>
          <w:p w14:paraId="235DFECF" w14:textId="77777777" w:rsidR="008A1904" w:rsidRPr="00442FD3" w:rsidRDefault="008A1904" w:rsidP="008A1904">
            <w:pPr>
              <w:pStyle w:val="Body1"/>
              <w:spacing w:before="240" w:after="200" w:line="276" w:lineRule="auto"/>
              <w:contextualSpacing/>
              <w:rPr>
                <w:rFonts w:asciiTheme="minorHAnsi" w:hAnsiTheme="minorHAnsi" w:cstheme="minorHAnsi"/>
              </w:rPr>
            </w:pPr>
          </w:p>
          <w:p w14:paraId="70675001" w14:textId="226FE992" w:rsidR="00442FD3" w:rsidRDefault="00353DC2" w:rsidP="00267C32">
            <w:pPr>
              <w:pStyle w:val="Body1"/>
              <w:numPr>
                <w:ilvl w:val="0"/>
                <w:numId w:val="19"/>
              </w:numPr>
              <w:spacing w:before="240" w:after="200" w:line="276" w:lineRule="auto"/>
              <w:ind w:left="426" w:hanging="426"/>
              <w:contextualSpacing/>
              <w:rPr>
                <w:rFonts w:asciiTheme="minorHAnsi" w:hAnsiTheme="minorHAnsi" w:cstheme="minorHAnsi"/>
              </w:rPr>
            </w:pPr>
            <w:r w:rsidRPr="00442FD3">
              <w:rPr>
                <w:rFonts w:asciiTheme="minorHAnsi" w:hAnsiTheme="minorHAnsi" w:cstheme="minorHAnsi"/>
              </w:rPr>
              <w:t>Ratios must be considered for a</w:t>
            </w:r>
            <w:r w:rsidR="00763934" w:rsidRPr="00442FD3">
              <w:rPr>
                <w:rFonts w:asciiTheme="minorHAnsi" w:hAnsiTheme="minorHAnsi" w:cstheme="minorHAnsi"/>
              </w:rPr>
              <w:t>ny excursion involving children being near bodies of water</w:t>
            </w:r>
            <w:r w:rsidRPr="00442FD3">
              <w:rPr>
                <w:rFonts w:asciiTheme="minorHAnsi" w:hAnsiTheme="minorHAnsi" w:cstheme="minorHAnsi"/>
              </w:rPr>
              <w:t xml:space="preserve">.  </w:t>
            </w:r>
          </w:p>
          <w:p w14:paraId="3A604162" w14:textId="77777777" w:rsidR="00267C32" w:rsidRPr="00267C32" w:rsidRDefault="00267C32" w:rsidP="00267C32">
            <w:pPr>
              <w:pStyle w:val="Body1"/>
              <w:spacing w:before="240" w:after="200" w:line="276" w:lineRule="auto"/>
              <w:contextualSpacing/>
              <w:rPr>
                <w:rFonts w:asciiTheme="minorHAnsi" w:hAnsiTheme="minorHAnsi" w:cstheme="minorHAnsi"/>
              </w:rPr>
            </w:pPr>
          </w:p>
          <w:p w14:paraId="79127E6B" w14:textId="062BD916" w:rsidR="00C26E62" w:rsidRPr="00267C32" w:rsidRDefault="00442FD3" w:rsidP="00C26E62">
            <w:pPr>
              <w:pStyle w:val="Body1"/>
              <w:numPr>
                <w:ilvl w:val="0"/>
                <w:numId w:val="19"/>
              </w:numPr>
              <w:spacing w:before="240" w:after="200" w:line="276" w:lineRule="auto"/>
              <w:ind w:left="426" w:hanging="426"/>
              <w:contextualSpacing/>
              <w:rPr>
                <w:rFonts w:asciiTheme="minorHAnsi" w:hAnsiTheme="minorHAnsi" w:cstheme="minorHAnsi"/>
              </w:rPr>
            </w:pPr>
            <w:r>
              <w:rPr>
                <w:rFonts w:asciiTheme="minorHAnsi" w:hAnsiTheme="minorHAnsi" w:cstheme="minorHAnsi"/>
              </w:rPr>
              <w:t>Children bring their own bottle of water to preschool. Educators check that bottles are full in the mornings and encourage children to use a water jug of fresh water to fill up their bottles</w:t>
            </w:r>
            <w:r w:rsidR="00267C32">
              <w:rPr>
                <w:rFonts w:asciiTheme="minorHAnsi" w:hAnsiTheme="minorHAnsi" w:cstheme="minorHAnsi"/>
              </w:rPr>
              <w:t xml:space="preserve">. Water is monitored throughout the day. Children take their drink bottle outside with them and have easy access when they are thirsty. </w:t>
            </w:r>
          </w:p>
        </w:tc>
      </w:tr>
    </w:tbl>
    <w:p w14:paraId="331E8539" w14:textId="70F4470E" w:rsidR="000C32DE" w:rsidRP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3A46" w:rsidRPr="00F13A46" w14:paraId="1E60FBA2" w14:textId="77777777" w:rsidTr="00F13A46">
        <w:trPr>
          <w:tblCellSpacing w:w="15" w:type="dxa"/>
        </w:trPr>
        <w:tc>
          <w:tcPr>
            <w:tcW w:w="0" w:type="auto"/>
            <w:vAlign w:val="center"/>
            <w:hideMark/>
          </w:tcPr>
          <w:p w14:paraId="6BE3D4A0" w14:textId="77777777" w:rsidR="00F13A46" w:rsidRPr="00F13A46" w:rsidRDefault="00F13A46" w:rsidP="00B5541C">
            <w:pPr>
              <w:spacing w:before="100" w:beforeAutospacing="1" w:after="100" w:afterAutospacing="1" w:line="240" w:lineRule="auto"/>
              <w:ind w:left="720"/>
              <w:rPr>
                <w:rFonts w:ascii="Times New Roman" w:eastAsia="Times New Roman" w:hAnsi="Times New Roman" w:cs="Times New Roman"/>
                <w:sz w:val="24"/>
                <w:szCs w:val="24"/>
                <w:lang w:val="en" w:eastAsia="en-AU"/>
              </w:rPr>
            </w:pPr>
          </w:p>
        </w:tc>
      </w:tr>
    </w:tbl>
    <w:p w14:paraId="3594533D" w14:textId="77777777" w:rsidR="00387AEC" w:rsidRPr="00387AEC" w:rsidRDefault="00387AEC">
      <w:pPr>
        <w:rPr>
          <w:lang w:val="en-US"/>
        </w:rPr>
      </w:pPr>
    </w:p>
    <w:sectPr w:rsidR="00387AEC" w:rsidRPr="00387AEC" w:rsidSect="00496CFB">
      <w:pgSz w:w="11906" w:h="16838"/>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22A62"/>
    <w:multiLevelType w:val="multilevel"/>
    <w:tmpl w:val="652E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20727"/>
    <w:multiLevelType w:val="hybridMultilevel"/>
    <w:tmpl w:val="B14098FA"/>
    <w:lvl w:ilvl="0" w:tplc="617AE69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717670"/>
    <w:multiLevelType w:val="multilevel"/>
    <w:tmpl w:val="FA2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1196B"/>
    <w:multiLevelType w:val="multilevel"/>
    <w:tmpl w:val="87C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06124B7"/>
    <w:multiLevelType w:val="hybridMultilevel"/>
    <w:tmpl w:val="9092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175518"/>
    <w:multiLevelType w:val="multilevel"/>
    <w:tmpl w:val="9C4E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8005984"/>
    <w:multiLevelType w:val="hybridMultilevel"/>
    <w:tmpl w:val="A978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936E88"/>
    <w:multiLevelType w:val="hybridMultilevel"/>
    <w:tmpl w:val="282ED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3"/>
  </w:num>
  <w:num w:numId="5">
    <w:abstractNumId w:val="9"/>
  </w:num>
  <w:num w:numId="6">
    <w:abstractNumId w:val="16"/>
  </w:num>
  <w:num w:numId="7">
    <w:abstractNumId w:val="4"/>
  </w:num>
  <w:num w:numId="8">
    <w:abstractNumId w:val="0"/>
  </w:num>
  <w:num w:numId="9">
    <w:abstractNumId w:val="12"/>
  </w:num>
  <w:num w:numId="10">
    <w:abstractNumId w:val="7"/>
  </w:num>
  <w:num w:numId="11">
    <w:abstractNumId w:val="3"/>
  </w:num>
  <w:num w:numId="12">
    <w:abstractNumId w:val="1"/>
  </w:num>
  <w:num w:numId="13">
    <w:abstractNumId w:val="15"/>
  </w:num>
  <w:num w:numId="14">
    <w:abstractNumId w:val="11"/>
  </w:num>
  <w:num w:numId="15">
    <w:abstractNumId w:val="5"/>
  </w:num>
  <w:num w:numId="16">
    <w:abstractNumId w:val="14"/>
  </w:num>
  <w:num w:numId="17">
    <w:abstractNumId w:val="17"/>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C32DE"/>
    <w:rsid w:val="00107F59"/>
    <w:rsid w:val="00111C3F"/>
    <w:rsid w:val="00156CBE"/>
    <w:rsid w:val="0016232C"/>
    <w:rsid w:val="00177C64"/>
    <w:rsid w:val="001D3BEE"/>
    <w:rsid w:val="002176A4"/>
    <w:rsid w:val="00242695"/>
    <w:rsid w:val="00250B38"/>
    <w:rsid w:val="00260455"/>
    <w:rsid w:val="00267C32"/>
    <w:rsid w:val="00270A07"/>
    <w:rsid w:val="002F5D50"/>
    <w:rsid w:val="0032476C"/>
    <w:rsid w:val="00353DC2"/>
    <w:rsid w:val="00357296"/>
    <w:rsid w:val="00365CD3"/>
    <w:rsid w:val="00386A2D"/>
    <w:rsid w:val="00387AEC"/>
    <w:rsid w:val="003C2478"/>
    <w:rsid w:val="003D212C"/>
    <w:rsid w:val="003F627F"/>
    <w:rsid w:val="0040685C"/>
    <w:rsid w:val="00417C6F"/>
    <w:rsid w:val="004310DF"/>
    <w:rsid w:val="00442FD3"/>
    <w:rsid w:val="00443181"/>
    <w:rsid w:val="00455FF2"/>
    <w:rsid w:val="00472F30"/>
    <w:rsid w:val="004826E0"/>
    <w:rsid w:val="00496CFB"/>
    <w:rsid w:val="004B6D0A"/>
    <w:rsid w:val="005067BF"/>
    <w:rsid w:val="00522F4D"/>
    <w:rsid w:val="005273CE"/>
    <w:rsid w:val="005523DE"/>
    <w:rsid w:val="005602DB"/>
    <w:rsid w:val="005840EB"/>
    <w:rsid w:val="006178DE"/>
    <w:rsid w:val="006275C9"/>
    <w:rsid w:val="00647E51"/>
    <w:rsid w:val="00651460"/>
    <w:rsid w:val="006B327C"/>
    <w:rsid w:val="006E7CA1"/>
    <w:rsid w:val="006F0C78"/>
    <w:rsid w:val="007306D0"/>
    <w:rsid w:val="0073507C"/>
    <w:rsid w:val="00762B4E"/>
    <w:rsid w:val="00763934"/>
    <w:rsid w:val="00777FBF"/>
    <w:rsid w:val="007E0D62"/>
    <w:rsid w:val="007F0D50"/>
    <w:rsid w:val="008058F0"/>
    <w:rsid w:val="00807348"/>
    <w:rsid w:val="00830C4B"/>
    <w:rsid w:val="00850F58"/>
    <w:rsid w:val="008542B0"/>
    <w:rsid w:val="008775FC"/>
    <w:rsid w:val="008A132E"/>
    <w:rsid w:val="008A1904"/>
    <w:rsid w:val="00904F41"/>
    <w:rsid w:val="00910E38"/>
    <w:rsid w:val="00954AE4"/>
    <w:rsid w:val="00957ECD"/>
    <w:rsid w:val="0099193C"/>
    <w:rsid w:val="009E0946"/>
    <w:rsid w:val="009F0851"/>
    <w:rsid w:val="00A00D26"/>
    <w:rsid w:val="00A67192"/>
    <w:rsid w:val="00A6729E"/>
    <w:rsid w:val="00A67E4B"/>
    <w:rsid w:val="00A73636"/>
    <w:rsid w:val="00AC7F35"/>
    <w:rsid w:val="00B20D7C"/>
    <w:rsid w:val="00B24254"/>
    <w:rsid w:val="00B5541C"/>
    <w:rsid w:val="00B64404"/>
    <w:rsid w:val="00B731A9"/>
    <w:rsid w:val="00B81A2C"/>
    <w:rsid w:val="00BA4841"/>
    <w:rsid w:val="00C26E62"/>
    <w:rsid w:val="00C844B6"/>
    <w:rsid w:val="00CC3307"/>
    <w:rsid w:val="00CC4555"/>
    <w:rsid w:val="00CC46CB"/>
    <w:rsid w:val="00CE26B7"/>
    <w:rsid w:val="00D01D5E"/>
    <w:rsid w:val="00D34CEB"/>
    <w:rsid w:val="00D61D2C"/>
    <w:rsid w:val="00D71205"/>
    <w:rsid w:val="00D81809"/>
    <w:rsid w:val="00DC2BE8"/>
    <w:rsid w:val="00DD6AA7"/>
    <w:rsid w:val="00E24213"/>
    <w:rsid w:val="00E35D69"/>
    <w:rsid w:val="00E50843"/>
    <w:rsid w:val="00E567DE"/>
    <w:rsid w:val="00E6765F"/>
    <w:rsid w:val="00E82A15"/>
    <w:rsid w:val="00EF4A13"/>
    <w:rsid w:val="00F02FC9"/>
    <w:rsid w:val="00F13A46"/>
    <w:rsid w:val="00F6466F"/>
    <w:rsid w:val="00FF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paragraph" w:customStyle="1" w:styleId="Body1">
    <w:name w:val="Body 1"/>
    <w:rsid w:val="00B24254"/>
    <w:pPr>
      <w:spacing w:after="0" w:line="240" w:lineRule="auto"/>
    </w:pPr>
    <w:rPr>
      <w:rFonts w:ascii="Helvetica" w:eastAsia="Arial Unicode MS" w:hAnsi="Helvetica"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ducation.nsw.gov.au/teaching-and-learning/curriculum/preschool/policies-and-procedures" TargetMode="External"/><Relationship Id="rId4" Type="http://schemas.openxmlformats.org/officeDocument/2006/relationships/numbering" Target="numbering.xml"/><Relationship Id="rId9" Type="http://schemas.openxmlformats.org/officeDocument/2006/relationships/hyperlink" Target="https://schoolsequella.det.nsw.edu.au/file/a240a1ff-d3e3-4883-92b4-a3591f4e12d7/1/leading-and-operating-department-preschool-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07603D-4BE6-427D-8377-D692EC9C4F3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03b97a7d-8b17-4edf-8791-b837b7a4e6c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816A08-A1F8-4391-9EFA-EDB741A2E5EF}">
  <ds:schemaRefs>
    <ds:schemaRef ds:uri="http://schemas.microsoft.com/sharepoint/v3/contenttype/forms"/>
  </ds:schemaRefs>
</ds:datastoreItem>
</file>

<file path=customXml/itemProps3.xml><?xml version="1.0" encoding="utf-8"?>
<ds:datastoreItem xmlns:ds="http://schemas.openxmlformats.org/officeDocument/2006/customXml" ds:itemID="{927F8B9F-929E-4141-A9BE-F23C0E4E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15</cp:revision>
  <cp:lastPrinted>2017-08-24T03:50:00Z</cp:lastPrinted>
  <dcterms:created xsi:type="dcterms:W3CDTF">2020-08-02T07:04:00Z</dcterms:created>
  <dcterms:modified xsi:type="dcterms:W3CDTF">2020-09-26T22:07:00Z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